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ind w:left="0" w:leftChars="0" w:firstLine="0" w:firstLineChars="0"/>
        <w:jc w:val="center"/>
        <w:rPr>
          <w:rFonts w:hint="eastAsia" w:ascii="宋体" w:hAnsi="宋体" w:cs="宋体"/>
          <w:b/>
          <w:bCs w:val="0"/>
          <w:sz w:val="44"/>
          <w:szCs w:val="44"/>
          <w:lang w:val="en-US" w:eastAsia="zh-CN"/>
        </w:rPr>
      </w:pPr>
      <w:bookmarkStart w:id="71" w:name="_GoBack"/>
      <w:bookmarkEnd w:id="71"/>
      <w:r>
        <w:rPr>
          <w:rFonts w:hint="eastAsia" w:ascii="宋体" w:hAnsi="宋体" w:cs="宋体"/>
          <w:b/>
          <w:bCs w:val="0"/>
          <w:sz w:val="44"/>
          <w:szCs w:val="44"/>
          <w:lang w:val="en-US" w:eastAsia="zh-CN"/>
        </w:rPr>
        <w:t>甘肃大禹节水集团水利水电工程有限责任公司</w:t>
      </w:r>
    </w:p>
    <w:p>
      <w:pPr>
        <w:pStyle w:val="28"/>
        <w:ind w:left="0" w:leftChars="0" w:firstLine="0" w:firstLineChars="0"/>
        <w:jc w:val="center"/>
        <w:rPr>
          <w:rFonts w:hint="default" w:ascii="宋体" w:hAnsi="宋体" w:cs="宋体"/>
          <w:b/>
          <w:bCs w:val="0"/>
          <w:color w:val="000000"/>
          <w:sz w:val="44"/>
          <w:szCs w:val="44"/>
          <w:lang w:val="en-US" w:eastAsia="zh-CN"/>
        </w:rPr>
      </w:pPr>
      <w:r>
        <w:rPr>
          <w:rFonts w:hint="eastAsia" w:ascii="宋体" w:hAnsi="宋体" w:cs="宋体"/>
          <w:b/>
          <w:bCs w:val="0"/>
          <w:color w:val="000000"/>
          <w:sz w:val="44"/>
          <w:szCs w:val="44"/>
          <w:lang w:val="en-US" w:eastAsia="zh-CN"/>
        </w:rPr>
        <w:t>宁夏西吉项目管道材料采购</w:t>
      </w:r>
    </w:p>
    <w:p>
      <w:pPr>
        <w:spacing w:line="1500" w:lineRule="exact"/>
        <w:jc w:val="center"/>
        <w:rPr>
          <w:rFonts w:hint="eastAsia" w:ascii="宋体" w:hAnsi="宋体" w:cs="宋体"/>
          <w:b/>
          <w:kern w:val="1"/>
          <w:sz w:val="92"/>
          <w:szCs w:val="92"/>
          <w:lang w:val="en-US" w:eastAsia="zh-CN"/>
        </w:rPr>
      </w:pPr>
    </w:p>
    <w:p>
      <w:pPr>
        <w:spacing w:line="1500" w:lineRule="exact"/>
        <w:jc w:val="center"/>
        <w:rPr>
          <w:rFonts w:ascii="宋体" w:hAnsi="宋体" w:cs="宋体"/>
          <w:b/>
          <w:kern w:val="1"/>
          <w:sz w:val="92"/>
          <w:szCs w:val="92"/>
        </w:rPr>
      </w:pPr>
      <w:r>
        <w:rPr>
          <w:rFonts w:hint="eastAsia" w:ascii="宋体" w:hAnsi="宋体" w:cs="宋体"/>
          <w:b/>
          <w:kern w:val="1"/>
          <w:sz w:val="92"/>
          <w:szCs w:val="92"/>
          <w:lang w:val="en-US" w:eastAsia="zh-CN"/>
        </w:rPr>
        <w:t>招标</w:t>
      </w:r>
      <w:r>
        <w:rPr>
          <w:rFonts w:ascii="宋体" w:hAnsi="宋体" w:cs="宋体"/>
          <w:b/>
          <w:kern w:val="1"/>
          <w:sz w:val="92"/>
          <w:szCs w:val="92"/>
        </w:rPr>
        <w:t>文件</w:t>
      </w:r>
    </w:p>
    <w:p>
      <w:pPr>
        <w:jc w:val="center"/>
        <w:rPr>
          <w:rFonts w:hint="eastAsia" w:ascii="宋体" w:hAnsi="宋体" w:eastAsia="宋体" w:cs="宋体"/>
          <w:kern w:val="1"/>
          <w:sz w:val="32"/>
          <w:lang w:eastAsia="zh-CN"/>
        </w:rPr>
      </w:pPr>
      <w:r>
        <w:rPr>
          <w:rFonts w:hint="eastAsia" w:ascii="宋体" w:hAnsi="宋体" w:cs="宋体"/>
          <w:kern w:val="1"/>
          <w:sz w:val="32"/>
        </w:rPr>
        <w:t>编号：DYCG-2021-B-0</w:t>
      </w:r>
      <w:r>
        <w:rPr>
          <w:rFonts w:hint="eastAsia" w:ascii="宋体" w:hAnsi="宋体" w:cs="宋体"/>
          <w:kern w:val="1"/>
          <w:sz w:val="32"/>
          <w:lang w:val="en-US" w:eastAsia="zh-CN"/>
        </w:rPr>
        <w:t>9</w:t>
      </w:r>
      <w:r>
        <w:rPr>
          <w:rFonts w:hint="eastAsia" w:ascii="宋体" w:hAnsi="宋体" w:cs="宋体"/>
          <w:kern w:val="1"/>
          <w:sz w:val="32"/>
        </w:rPr>
        <w:t>-0</w:t>
      </w:r>
      <w:r>
        <w:rPr>
          <w:rFonts w:hint="eastAsia" w:ascii="宋体" w:hAnsi="宋体" w:cs="宋体"/>
          <w:kern w:val="1"/>
          <w:sz w:val="32"/>
          <w:lang w:val="en-US" w:eastAsia="zh-CN"/>
        </w:rPr>
        <w:t>2</w:t>
      </w: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spacing w:line="360" w:lineRule="auto"/>
        <w:jc w:val="center"/>
        <w:rPr>
          <w:rFonts w:ascii="宋体" w:hAnsi="宋体" w:cs="宋体"/>
          <w:b/>
          <w:kern w:val="1"/>
          <w:sz w:val="52"/>
          <w:szCs w:val="52"/>
        </w:rPr>
      </w:pPr>
      <w:r>
        <w:rPr>
          <w:rFonts w:hint="eastAsia" w:ascii="宋体" w:hAnsi="宋体" w:cs="宋体"/>
          <w:kern w:val="1"/>
          <w:sz w:val="30"/>
          <w:szCs w:val="28"/>
          <w:lang w:val="en-US" w:eastAsia="zh-CN"/>
        </w:rPr>
        <w:t>招标</w:t>
      </w:r>
      <w:r>
        <w:rPr>
          <w:rFonts w:ascii="宋体" w:hAnsi="宋体" w:cs="宋体"/>
          <w:kern w:val="1"/>
          <w:sz w:val="30"/>
          <w:szCs w:val="28"/>
        </w:rPr>
        <w:t>单位：</w:t>
      </w:r>
      <w:r>
        <w:rPr>
          <w:rFonts w:hint="eastAsia" w:ascii="宋体" w:hAnsi="宋体" w:cs="宋体"/>
          <w:kern w:val="1"/>
          <w:sz w:val="30"/>
          <w:szCs w:val="28"/>
          <w:lang w:val="en-US" w:eastAsia="zh-CN"/>
        </w:rPr>
        <w:t>甘肃大禹节水集团水利水电工程有限责任公司</w:t>
      </w:r>
    </w:p>
    <w:p>
      <w:pPr>
        <w:spacing w:line="360" w:lineRule="auto"/>
        <w:ind w:firstLine="3600" w:firstLineChars="1200"/>
        <w:jc w:val="both"/>
        <w:rPr>
          <w:rFonts w:hint="eastAsia" w:ascii="宋体" w:hAnsi="宋体" w:cs="宋体"/>
          <w:b/>
          <w:sz w:val="32"/>
          <w:szCs w:val="21"/>
        </w:rPr>
      </w:pPr>
      <w:r>
        <w:rPr>
          <w:rFonts w:hint="eastAsia" w:ascii="宋体" w:hAnsi="宋体" w:cs="宋体"/>
          <w:kern w:val="1"/>
          <w:sz w:val="30"/>
          <w:szCs w:val="28"/>
        </w:rPr>
        <w:t>二〇二</w:t>
      </w:r>
      <w:r>
        <w:rPr>
          <w:rFonts w:hint="eastAsia" w:ascii="宋体" w:hAnsi="宋体" w:cs="宋体"/>
          <w:kern w:val="1"/>
          <w:sz w:val="30"/>
          <w:szCs w:val="28"/>
          <w:lang w:val="en-US" w:eastAsia="zh-CN"/>
        </w:rPr>
        <w:t>一</w:t>
      </w:r>
      <w:r>
        <w:rPr>
          <w:rFonts w:hint="eastAsia" w:ascii="宋体" w:hAnsi="宋体" w:cs="宋体"/>
          <w:kern w:val="1"/>
          <w:sz w:val="30"/>
          <w:szCs w:val="28"/>
        </w:rPr>
        <w:t>年</w:t>
      </w:r>
      <w:r>
        <w:rPr>
          <w:rFonts w:hint="eastAsia" w:ascii="宋体" w:hAnsi="宋体" w:cs="宋体"/>
          <w:kern w:val="1"/>
          <w:sz w:val="30"/>
          <w:szCs w:val="28"/>
          <w:lang w:val="en-US" w:eastAsia="zh-CN"/>
        </w:rPr>
        <w:t>九</w:t>
      </w:r>
      <w:r>
        <w:rPr>
          <w:rFonts w:hint="eastAsia" w:ascii="宋体" w:hAnsi="宋体" w:cs="宋体"/>
          <w:kern w:val="1"/>
          <w:sz w:val="30"/>
          <w:szCs w:val="28"/>
        </w:rPr>
        <w:t>月</w:t>
      </w:r>
    </w:p>
    <w:p>
      <w:pPr>
        <w:spacing w:line="360" w:lineRule="auto"/>
        <w:jc w:val="center"/>
        <w:rPr>
          <w:rFonts w:ascii="宋体" w:hAnsi="宋体" w:cs="宋体"/>
          <w:kern w:val="1"/>
          <w:sz w:val="30"/>
          <w:szCs w:val="28"/>
        </w:rPr>
        <w:sectPr>
          <w:headerReference r:id="rId3" w:type="default"/>
          <w:footerReference r:id="rId4" w:type="default"/>
          <w:pgSz w:w="11906" w:h="16838"/>
          <w:pgMar w:top="1418" w:right="1134" w:bottom="1702" w:left="1134" w:header="340" w:footer="720" w:gutter="170"/>
          <w:pgNumType w:fmt="decimal" w:start="1"/>
          <w:cols w:space="720" w:num="1"/>
          <w:docGrid w:linePitch="286" w:charSpace="0"/>
        </w:sectPr>
      </w:pPr>
    </w:p>
    <w:sdt>
      <w:sdtPr>
        <w:rPr>
          <w:rFonts w:ascii="宋体" w:hAnsi="宋体" w:eastAsia="宋体" w:cs="Times New Roman"/>
          <w:color w:val="000000"/>
          <w:sz w:val="21"/>
          <w:szCs w:val="24"/>
          <w:lang w:val="en-US" w:eastAsia="zh-CN" w:bidi="ar-SA"/>
        </w:rPr>
        <w:id w:val="147459187"/>
        <w15:color w:val="DBDBDB"/>
        <w:docPartObj>
          <w:docPartGallery w:val="Table of Contents"/>
          <w:docPartUnique/>
        </w:docPartObj>
      </w:sdtPr>
      <w:sdtEndPr>
        <w:rPr>
          <w:rFonts w:ascii="宋体" w:hAnsi="宋体" w:eastAsia="宋体" w:cs="Times New Roman"/>
          <w:b/>
          <w:color w:val="000000"/>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22"/>
            <w:tabs>
              <w:tab w:val="right" w:leader="dot" w:pos="9468"/>
            </w:tabs>
            <w:rPr>
              <w:b/>
            </w:rPr>
          </w:pPr>
          <w:r>
            <w:fldChar w:fldCharType="begin"/>
          </w:r>
          <w:r>
            <w:instrText xml:space="preserve">TOC \o "1-2" \h \u </w:instrText>
          </w:r>
          <w:r>
            <w:fldChar w:fldCharType="separate"/>
          </w:r>
          <w:r>
            <w:rPr>
              <w:b/>
            </w:rPr>
            <w:fldChar w:fldCharType="begin"/>
          </w:r>
          <w:r>
            <w:rPr>
              <w:b/>
            </w:rPr>
            <w:instrText xml:space="preserve"> HYPERLINK \l _Toc16921 </w:instrText>
          </w:r>
          <w:r>
            <w:rPr>
              <w:b/>
            </w:rPr>
            <w:fldChar w:fldCharType="separate"/>
          </w:r>
          <w:r>
            <w:rPr>
              <w:rFonts w:hint="eastAsia"/>
              <w:b/>
            </w:rPr>
            <w:t>前附表</w:t>
          </w:r>
          <w:r>
            <w:rPr>
              <w:b/>
            </w:rPr>
            <w:tab/>
          </w:r>
          <w:r>
            <w:rPr>
              <w:b/>
            </w:rPr>
            <w:fldChar w:fldCharType="begin"/>
          </w:r>
          <w:r>
            <w:rPr>
              <w:b/>
            </w:rPr>
            <w:instrText xml:space="preserve"> PAGEREF _Toc16921 \h </w:instrText>
          </w:r>
          <w:r>
            <w:rPr>
              <w:b/>
            </w:rPr>
            <w:fldChar w:fldCharType="separate"/>
          </w:r>
          <w:r>
            <w:rPr>
              <w:b/>
            </w:rPr>
            <w:t>2</w:t>
          </w:r>
          <w:r>
            <w:rPr>
              <w:b/>
            </w:rPr>
            <w:fldChar w:fldCharType="end"/>
          </w:r>
          <w:r>
            <w:rPr>
              <w:b/>
            </w:rPr>
            <w:fldChar w:fldCharType="end"/>
          </w:r>
        </w:p>
        <w:p>
          <w:pPr>
            <w:pStyle w:val="522"/>
            <w:tabs>
              <w:tab w:val="right" w:leader="dot" w:pos="9468"/>
            </w:tabs>
            <w:rPr>
              <w:b/>
            </w:rPr>
          </w:pPr>
          <w:r>
            <w:rPr>
              <w:b/>
            </w:rPr>
            <w:fldChar w:fldCharType="begin"/>
          </w:r>
          <w:r>
            <w:rPr>
              <w:b/>
            </w:rPr>
            <w:instrText xml:space="preserve"> HYPERLINK \l _Toc31852 </w:instrText>
          </w:r>
          <w:r>
            <w:rPr>
              <w:b/>
            </w:rPr>
            <w:fldChar w:fldCharType="separate"/>
          </w:r>
          <w:r>
            <w:rPr>
              <w:b/>
            </w:rPr>
            <w:t xml:space="preserve">第一部分  </w:t>
          </w:r>
          <w:r>
            <w:rPr>
              <w:rFonts w:hint="eastAsia"/>
              <w:b/>
            </w:rPr>
            <w:t>投标人须知</w:t>
          </w:r>
          <w:r>
            <w:rPr>
              <w:b/>
            </w:rPr>
            <w:tab/>
          </w:r>
          <w:r>
            <w:rPr>
              <w:b/>
            </w:rPr>
            <w:fldChar w:fldCharType="begin"/>
          </w:r>
          <w:r>
            <w:rPr>
              <w:b/>
            </w:rPr>
            <w:instrText xml:space="preserve"> PAGEREF _Toc31852 \h </w:instrText>
          </w:r>
          <w:r>
            <w:rPr>
              <w:b/>
            </w:rPr>
            <w:fldChar w:fldCharType="separate"/>
          </w:r>
          <w:r>
            <w:rPr>
              <w:b/>
            </w:rPr>
            <w:t>4</w:t>
          </w:r>
          <w:r>
            <w:rPr>
              <w:b/>
            </w:rPr>
            <w:fldChar w:fldCharType="end"/>
          </w:r>
          <w:r>
            <w:rPr>
              <w:b/>
            </w:rPr>
            <w:fldChar w:fldCharType="end"/>
          </w:r>
        </w:p>
        <w:p>
          <w:pPr>
            <w:pStyle w:val="523"/>
            <w:tabs>
              <w:tab w:val="right" w:leader="dot" w:pos="9468"/>
            </w:tabs>
          </w:pPr>
          <w:r>
            <w:fldChar w:fldCharType="begin"/>
          </w:r>
          <w:r>
            <w:instrText xml:space="preserve"> HYPERLINK \l _Toc1966 </w:instrText>
          </w:r>
          <w:r>
            <w:fldChar w:fldCharType="separate"/>
          </w:r>
          <w:r>
            <w:rPr>
              <w:rFonts w:hint="eastAsia"/>
            </w:rPr>
            <w:t>一、投标人</w:t>
          </w:r>
          <w:r>
            <w:tab/>
          </w:r>
          <w:r>
            <w:fldChar w:fldCharType="begin"/>
          </w:r>
          <w:r>
            <w:instrText xml:space="preserve"> PAGEREF _Toc1966 \h </w:instrText>
          </w:r>
          <w:r>
            <w:fldChar w:fldCharType="separate"/>
          </w:r>
          <w:r>
            <w:t>4</w:t>
          </w:r>
          <w:r>
            <w:fldChar w:fldCharType="end"/>
          </w:r>
          <w:r>
            <w:fldChar w:fldCharType="end"/>
          </w:r>
        </w:p>
        <w:p>
          <w:pPr>
            <w:pStyle w:val="523"/>
            <w:tabs>
              <w:tab w:val="right" w:leader="dot" w:pos="9468"/>
            </w:tabs>
          </w:pPr>
          <w:r>
            <w:fldChar w:fldCharType="begin"/>
          </w:r>
          <w:r>
            <w:instrText xml:space="preserve"> HYPERLINK \l _Toc18727 </w:instrText>
          </w:r>
          <w:r>
            <w:fldChar w:fldCharType="separate"/>
          </w:r>
          <w:r>
            <w:rPr>
              <w:rFonts w:hint="eastAsia"/>
            </w:rPr>
            <w:t>二、招标文件说明</w:t>
          </w:r>
          <w:r>
            <w:tab/>
          </w:r>
          <w:r>
            <w:fldChar w:fldCharType="begin"/>
          </w:r>
          <w:r>
            <w:instrText xml:space="preserve"> PAGEREF _Toc18727 \h </w:instrText>
          </w:r>
          <w:r>
            <w:fldChar w:fldCharType="separate"/>
          </w:r>
          <w:r>
            <w:t>4</w:t>
          </w:r>
          <w:r>
            <w:fldChar w:fldCharType="end"/>
          </w:r>
          <w:r>
            <w:fldChar w:fldCharType="end"/>
          </w:r>
        </w:p>
        <w:p>
          <w:pPr>
            <w:pStyle w:val="523"/>
            <w:tabs>
              <w:tab w:val="right" w:leader="dot" w:pos="9468"/>
            </w:tabs>
          </w:pPr>
          <w:r>
            <w:fldChar w:fldCharType="begin"/>
          </w:r>
          <w:r>
            <w:instrText xml:space="preserve"> HYPERLINK \l _Toc25909 </w:instrText>
          </w:r>
          <w:r>
            <w:fldChar w:fldCharType="separate"/>
          </w:r>
          <w:r>
            <w:rPr>
              <w:rFonts w:hint="eastAsia"/>
              <w:lang w:val="en-US" w:eastAsia="zh-CN"/>
            </w:rPr>
            <w:t>三、招</w:t>
          </w:r>
          <w:r>
            <w:rPr>
              <w:rFonts w:hint="eastAsia"/>
              <w:lang w:val="en-US"/>
            </w:rPr>
            <w:t>标内容</w:t>
          </w:r>
          <w:r>
            <w:tab/>
          </w:r>
          <w:r>
            <w:fldChar w:fldCharType="begin"/>
          </w:r>
          <w:r>
            <w:instrText xml:space="preserve"> PAGEREF _Toc25909 \h </w:instrText>
          </w:r>
          <w:r>
            <w:fldChar w:fldCharType="separate"/>
          </w:r>
          <w:r>
            <w:t>5</w:t>
          </w:r>
          <w:r>
            <w:fldChar w:fldCharType="end"/>
          </w:r>
          <w:r>
            <w:fldChar w:fldCharType="end"/>
          </w:r>
        </w:p>
        <w:p>
          <w:pPr>
            <w:pStyle w:val="523"/>
            <w:tabs>
              <w:tab w:val="right" w:leader="dot" w:pos="9468"/>
            </w:tabs>
          </w:pPr>
          <w:r>
            <w:fldChar w:fldCharType="begin"/>
          </w:r>
          <w:r>
            <w:instrText xml:space="preserve"> HYPERLINK \l _Toc4366 </w:instrText>
          </w:r>
          <w:r>
            <w:fldChar w:fldCharType="separate"/>
          </w:r>
          <w:r>
            <w:rPr>
              <w:rFonts w:hint="eastAsia"/>
              <w:lang w:val="en-US"/>
            </w:rPr>
            <w:t>四</w:t>
          </w:r>
          <w:r>
            <w:rPr>
              <w:rFonts w:hint="eastAsia"/>
            </w:rPr>
            <w:t>、投标文件说明</w:t>
          </w:r>
          <w:r>
            <w:tab/>
          </w:r>
          <w:r>
            <w:fldChar w:fldCharType="begin"/>
          </w:r>
          <w:r>
            <w:instrText xml:space="preserve"> PAGEREF _Toc4366 \h </w:instrText>
          </w:r>
          <w:r>
            <w:fldChar w:fldCharType="separate"/>
          </w:r>
          <w:r>
            <w:t>5</w:t>
          </w:r>
          <w:r>
            <w:fldChar w:fldCharType="end"/>
          </w:r>
          <w:r>
            <w:fldChar w:fldCharType="end"/>
          </w:r>
        </w:p>
        <w:p>
          <w:pPr>
            <w:pStyle w:val="523"/>
            <w:tabs>
              <w:tab w:val="right" w:leader="dot" w:pos="9468"/>
            </w:tabs>
          </w:pPr>
          <w:r>
            <w:fldChar w:fldCharType="begin"/>
          </w:r>
          <w:r>
            <w:instrText xml:space="preserve"> HYPERLINK \l _Toc26920 </w:instrText>
          </w:r>
          <w:r>
            <w:fldChar w:fldCharType="separate"/>
          </w:r>
          <w:r>
            <w:t>五</w:t>
          </w:r>
          <w:r>
            <w:rPr>
              <w:rFonts w:hint="eastAsia"/>
            </w:rPr>
            <w:t>、投标文件的递交</w:t>
          </w:r>
          <w:r>
            <w:tab/>
          </w:r>
          <w:r>
            <w:fldChar w:fldCharType="begin"/>
          </w:r>
          <w:r>
            <w:instrText xml:space="preserve"> PAGEREF _Toc26920 \h </w:instrText>
          </w:r>
          <w:r>
            <w:fldChar w:fldCharType="separate"/>
          </w:r>
          <w:r>
            <w:t>7</w:t>
          </w:r>
          <w:r>
            <w:fldChar w:fldCharType="end"/>
          </w:r>
          <w:r>
            <w:fldChar w:fldCharType="end"/>
          </w:r>
        </w:p>
        <w:p>
          <w:pPr>
            <w:pStyle w:val="523"/>
            <w:tabs>
              <w:tab w:val="right" w:leader="dot" w:pos="9468"/>
            </w:tabs>
          </w:pPr>
          <w:r>
            <w:fldChar w:fldCharType="begin"/>
          </w:r>
          <w:r>
            <w:instrText xml:space="preserve"> HYPERLINK \l _Toc31446 </w:instrText>
          </w:r>
          <w:r>
            <w:fldChar w:fldCharType="separate"/>
          </w:r>
          <w:r>
            <w:t>六</w:t>
          </w:r>
          <w:r>
            <w:rPr>
              <w:rFonts w:hint="eastAsia"/>
            </w:rPr>
            <w:t>、开标和评标</w:t>
          </w:r>
          <w:r>
            <w:tab/>
          </w:r>
          <w:r>
            <w:fldChar w:fldCharType="begin"/>
          </w:r>
          <w:r>
            <w:instrText xml:space="preserve"> PAGEREF _Toc31446 \h </w:instrText>
          </w:r>
          <w:r>
            <w:fldChar w:fldCharType="separate"/>
          </w:r>
          <w:r>
            <w:t>7</w:t>
          </w:r>
          <w:r>
            <w:fldChar w:fldCharType="end"/>
          </w:r>
          <w:r>
            <w:fldChar w:fldCharType="end"/>
          </w:r>
        </w:p>
        <w:p>
          <w:pPr>
            <w:pStyle w:val="523"/>
            <w:tabs>
              <w:tab w:val="right" w:leader="dot" w:pos="9468"/>
            </w:tabs>
          </w:pPr>
          <w:r>
            <w:fldChar w:fldCharType="begin"/>
          </w:r>
          <w:r>
            <w:instrText xml:space="preserve"> HYPERLINK \l _Toc12552 </w:instrText>
          </w:r>
          <w:r>
            <w:fldChar w:fldCharType="separate"/>
          </w:r>
          <w:r>
            <w:t>七</w:t>
          </w:r>
          <w:r>
            <w:rPr>
              <w:rFonts w:hint="eastAsia"/>
            </w:rPr>
            <w:t>、确定中标人、中标通知和签订合同</w:t>
          </w:r>
          <w:r>
            <w:tab/>
          </w:r>
          <w:r>
            <w:fldChar w:fldCharType="begin"/>
          </w:r>
          <w:r>
            <w:instrText xml:space="preserve"> PAGEREF _Toc12552 \h </w:instrText>
          </w:r>
          <w:r>
            <w:fldChar w:fldCharType="separate"/>
          </w:r>
          <w:r>
            <w:t>9</w:t>
          </w:r>
          <w:r>
            <w:fldChar w:fldCharType="end"/>
          </w:r>
          <w:r>
            <w:fldChar w:fldCharType="end"/>
          </w:r>
        </w:p>
        <w:p>
          <w:pPr>
            <w:pStyle w:val="522"/>
            <w:tabs>
              <w:tab w:val="right" w:leader="dot" w:pos="9468"/>
            </w:tabs>
            <w:rPr>
              <w:b/>
            </w:rPr>
          </w:pPr>
          <w:r>
            <w:rPr>
              <w:b/>
            </w:rPr>
            <w:fldChar w:fldCharType="begin"/>
          </w:r>
          <w:r>
            <w:rPr>
              <w:b/>
            </w:rPr>
            <w:instrText xml:space="preserve"> HYPERLINK \l _Toc24883 </w:instrText>
          </w:r>
          <w:r>
            <w:rPr>
              <w:b/>
            </w:rPr>
            <w:fldChar w:fldCharType="separate"/>
          </w:r>
          <w:r>
            <w:rPr>
              <w:rFonts w:hint="eastAsia"/>
              <w:b/>
            </w:rPr>
            <w:t>第二部分 技术要求</w:t>
          </w:r>
          <w:r>
            <w:rPr>
              <w:b/>
            </w:rPr>
            <w:tab/>
          </w:r>
          <w:r>
            <w:rPr>
              <w:b/>
            </w:rPr>
            <w:fldChar w:fldCharType="begin"/>
          </w:r>
          <w:r>
            <w:rPr>
              <w:b/>
            </w:rPr>
            <w:instrText xml:space="preserve"> PAGEREF _Toc24883 \h </w:instrText>
          </w:r>
          <w:r>
            <w:rPr>
              <w:b/>
            </w:rPr>
            <w:fldChar w:fldCharType="separate"/>
          </w:r>
          <w:r>
            <w:rPr>
              <w:b/>
            </w:rPr>
            <w:t>10</w:t>
          </w:r>
          <w:r>
            <w:rPr>
              <w:b/>
            </w:rPr>
            <w:fldChar w:fldCharType="end"/>
          </w:r>
          <w:r>
            <w:rPr>
              <w:b/>
            </w:rPr>
            <w:fldChar w:fldCharType="end"/>
          </w:r>
        </w:p>
        <w:p>
          <w:pPr>
            <w:pStyle w:val="523"/>
            <w:tabs>
              <w:tab w:val="right" w:leader="dot" w:pos="9468"/>
            </w:tabs>
          </w:pPr>
          <w:r>
            <w:fldChar w:fldCharType="begin"/>
          </w:r>
          <w:r>
            <w:instrText xml:space="preserve"> HYPERLINK \l _Toc23327 </w:instrText>
          </w:r>
          <w:r>
            <w:fldChar w:fldCharType="separate"/>
          </w:r>
          <w:r>
            <w:rPr>
              <w:rFonts w:hint="eastAsia"/>
              <w:bCs/>
              <w:szCs w:val="36"/>
              <w:lang w:val="en-US" w:eastAsia="zh-CN"/>
            </w:rPr>
            <w:t>一、第一标段材料</w:t>
          </w:r>
          <w:r>
            <w:rPr>
              <w:rFonts w:hint="eastAsia"/>
              <w:bCs/>
              <w:szCs w:val="36"/>
            </w:rPr>
            <w:t>技术要求</w:t>
          </w:r>
          <w:r>
            <w:tab/>
          </w:r>
          <w:r>
            <w:fldChar w:fldCharType="begin"/>
          </w:r>
          <w:r>
            <w:instrText xml:space="preserve"> PAGEREF _Toc23327 \h </w:instrText>
          </w:r>
          <w:r>
            <w:fldChar w:fldCharType="separate"/>
          </w:r>
          <w:r>
            <w:t>10</w:t>
          </w:r>
          <w:r>
            <w:fldChar w:fldCharType="end"/>
          </w:r>
          <w:r>
            <w:fldChar w:fldCharType="end"/>
          </w:r>
        </w:p>
        <w:p>
          <w:pPr>
            <w:pStyle w:val="523"/>
            <w:tabs>
              <w:tab w:val="right" w:leader="dot" w:pos="9468"/>
            </w:tabs>
          </w:pPr>
          <w:r>
            <w:fldChar w:fldCharType="begin"/>
          </w:r>
          <w:r>
            <w:instrText xml:space="preserve"> HYPERLINK \l _Toc1538 </w:instrText>
          </w:r>
          <w:r>
            <w:fldChar w:fldCharType="separate"/>
          </w:r>
          <w:r>
            <w:rPr>
              <w:rFonts w:hint="eastAsia"/>
              <w:bCs/>
              <w:szCs w:val="36"/>
              <w:lang w:val="en-US" w:eastAsia="zh-CN"/>
            </w:rPr>
            <w:t>二、第二标段材料</w:t>
          </w:r>
          <w:r>
            <w:rPr>
              <w:rFonts w:hint="eastAsia"/>
              <w:bCs/>
              <w:szCs w:val="36"/>
            </w:rPr>
            <w:t>技术要求</w:t>
          </w:r>
          <w:r>
            <w:tab/>
          </w:r>
          <w:r>
            <w:fldChar w:fldCharType="begin"/>
          </w:r>
          <w:r>
            <w:instrText xml:space="preserve"> PAGEREF _Toc1538 \h </w:instrText>
          </w:r>
          <w:r>
            <w:fldChar w:fldCharType="separate"/>
          </w:r>
          <w:r>
            <w:t>10</w:t>
          </w:r>
          <w:r>
            <w:fldChar w:fldCharType="end"/>
          </w:r>
          <w:r>
            <w:fldChar w:fldCharType="end"/>
          </w:r>
        </w:p>
        <w:p>
          <w:pPr>
            <w:pStyle w:val="522"/>
            <w:tabs>
              <w:tab w:val="right" w:leader="dot" w:pos="9468"/>
            </w:tabs>
            <w:rPr>
              <w:b/>
            </w:rPr>
          </w:pPr>
          <w:r>
            <w:rPr>
              <w:b/>
            </w:rPr>
            <w:fldChar w:fldCharType="begin"/>
          </w:r>
          <w:r>
            <w:rPr>
              <w:b/>
            </w:rPr>
            <w:instrText xml:space="preserve"> HYPERLINK \l _Toc21393 </w:instrText>
          </w:r>
          <w:r>
            <w:rPr>
              <w:b/>
            </w:rPr>
            <w:fldChar w:fldCharType="separate"/>
          </w:r>
          <w:r>
            <w:rPr>
              <w:b/>
            </w:rPr>
            <w:t>第三部分  投标文件格式</w:t>
          </w:r>
          <w:r>
            <w:rPr>
              <w:b/>
            </w:rPr>
            <w:tab/>
          </w:r>
          <w:r>
            <w:rPr>
              <w:b/>
            </w:rPr>
            <w:fldChar w:fldCharType="begin"/>
          </w:r>
          <w:r>
            <w:rPr>
              <w:b/>
            </w:rPr>
            <w:instrText xml:space="preserve"> PAGEREF _Toc21393 \h </w:instrText>
          </w:r>
          <w:r>
            <w:rPr>
              <w:b/>
            </w:rPr>
            <w:fldChar w:fldCharType="separate"/>
          </w:r>
          <w:r>
            <w:rPr>
              <w:b/>
            </w:rPr>
            <w:t>11</w:t>
          </w:r>
          <w:r>
            <w:rPr>
              <w:b/>
            </w:rPr>
            <w:fldChar w:fldCharType="end"/>
          </w:r>
          <w:r>
            <w:rPr>
              <w:b/>
            </w:rPr>
            <w:fldChar w:fldCharType="end"/>
          </w:r>
        </w:p>
        <w:p>
          <w:pPr>
            <w:pStyle w:val="523"/>
            <w:tabs>
              <w:tab w:val="right" w:leader="dot" w:pos="9468"/>
            </w:tabs>
          </w:pPr>
          <w:r>
            <w:fldChar w:fldCharType="begin"/>
          </w:r>
          <w:r>
            <w:instrText xml:space="preserve"> HYPERLINK \l _Toc30638 </w:instrText>
          </w:r>
          <w:r>
            <w:fldChar w:fldCharType="separate"/>
          </w:r>
          <w:r>
            <w:rPr>
              <w:rFonts w:hint="eastAsia"/>
            </w:rPr>
            <w:t>一、投标函</w:t>
          </w:r>
          <w:r>
            <w:tab/>
          </w:r>
          <w:r>
            <w:fldChar w:fldCharType="begin"/>
          </w:r>
          <w:r>
            <w:instrText xml:space="preserve"> PAGEREF _Toc30638 \h </w:instrText>
          </w:r>
          <w:r>
            <w:fldChar w:fldCharType="separate"/>
          </w:r>
          <w:r>
            <w:t>11</w:t>
          </w:r>
          <w:r>
            <w:fldChar w:fldCharType="end"/>
          </w:r>
          <w:r>
            <w:fldChar w:fldCharType="end"/>
          </w:r>
        </w:p>
        <w:p>
          <w:pPr>
            <w:pStyle w:val="523"/>
            <w:tabs>
              <w:tab w:val="right" w:leader="dot" w:pos="9468"/>
            </w:tabs>
          </w:pPr>
          <w:r>
            <w:fldChar w:fldCharType="begin"/>
          </w:r>
          <w:r>
            <w:instrText xml:space="preserve"> HYPERLINK \l _Toc16041 </w:instrText>
          </w:r>
          <w:r>
            <w:fldChar w:fldCharType="separate"/>
          </w:r>
          <w:r>
            <w:rPr>
              <w:rFonts w:hint="eastAsia"/>
            </w:rPr>
            <w:t>二、法定代表人授权委托书</w:t>
          </w:r>
          <w:r>
            <w:tab/>
          </w:r>
          <w:r>
            <w:fldChar w:fldCharType="begin"/>
          </w:r>
          <w:r>
            <w:instrText xml:space="preserve"> PAGEREF _Toc16041 \h </w:instrText>
          </w:r>
          <w:r>
            <w:fldChar w:fldCharType="separate"/>
          </w:r>
          <w:r>
            <w:t>12</w:t>
          </w:r>
          <w:r>
            <w:fldChar w:fldCharType="end"/>
          </w:r>
          <w:r>
            <w:fldChar w:fldCharType="end"/>
          </w:r>
        </w:p>
        <w:p>
          <w:pPr>
            <w:pStyle w:val="523"/>
            <w:tabs>
              <w:tab w:val="right" w:leader="dot" w:pos="9468"/>
            </w:tabs>
          </w:pPr>
          <w:r>
            <w:fldChar w:fldCharType="begin"/>
          </w:r>
          <w:r>
            <w:instrText xml:space="preserve"> HYPERLINK \l _Toc695 </w:instrText>
          </w:r>
          <w:r>
            <w:fldChar w:fldCharType="separate"/>
          </w:r>
          <w:r>
            <w:rPr>
              <w:rFonts w:hint="eastAsia"/>
            </w:rPr>
            <w:t>三、法定代表人身份证明</w:t>
          </w:r>
          <w:r>
            <w:tab/>
          </w:r>
          <w:r>
            <w:fldChar w:fldCharType="begin"/>
          </w:r>
          <w:r>
            <w:instrText xml:space="preserve"> PAGEREF _Toc695 \h </w:instrText>
          </w:r>
          <w:r>
            <w:fldChar w:fldCharType="separate"/>
          </w:r>
          <w:r>
            <w:t>13</w:t>
          </w:r>
          <w:r>
            <w:fldChar w:fldCharType="end"/>
          </w:r>
          <w:r>
            <w:fldChar w:fldCharType="end"/>
          </w:r>
        </w:p>
        <w:p>
          <w:pPr>
            <w:pStyle w:val="523"/>
            <w:tabs>
              <w:tab w:val="right" w:leader="dot" w:pos="9468"/>
            </w:tabs>
          </w:pPr>
          <w:r>
            <w:fldChar w:fldCharType="begin"/>
          </w:r>
          <w:r>
            <w:instrText xml:space="preserve"> HYPERLINK \l _Toc4796 </w:instrText>
          </w:r>
          <w:r>
            <w:fldChar w:fldCharType="separate"/>
          </w:r>
          <w:r>
            <w:rPr>
              <w:rFonts w:hint="eastAsia"/>
              <w:lang w:val="en-US" w:eastAsia="zh-CN"/>
            </w:rPr>
            <w:t>四</w:t>
          </w:r>
          <w:r>
            <w:rPr>
              <w:rFonts w:hint="eastAsia"/>
            </w:rPr>
            <w:t>、投标报价</w:t>
          </w:r>
          <w:r>
            <w:rPr>
              <w:rFonts w:hint="eastAsia"/>
              <w:lang w:val="en-US"/>
            </w:rPr>
            <w:t>表</w:t>
          </w:r>
          <w:r>
            <w:tab/>
          </w:r>
          <w:r>
            <w:fldChar w:fldCharType="begin"/>
          </w:r>
          <w:r>
            <w:instrText xml:space="preserve"> PAGEREF _Toc4796 \h </w:instrText>
          </w:r>
          <w:r>
            <w:fldChar w:fldCharType="separate"/>
          </w:r>
          <w:r>
            <w:t>14</w:t>
          </w:r>
          <w:r>
            <w:fldChar w:fldCharType="end"/>
          </w:r>
          <w:r>
            <w:fldChar w:fldCharType="end"/>
          </w:r>
        </w:p>
        <w:p>
          <w:pPr>
            <w:pStyle w:val="523"/>
            <w:tabs>
              <w:tab w:val="right" w:leader="dot" w:pos="9468"/>
            </w:tabs>
          </w:pPr>
          <w:r>
            <w:fldChar w:fldCharType="begin"/>
          </w:r>
          <w:r>
            <w:instrText xml:space="preserve"> HYPERLINK \l _Toc6285 </w:instrText>
          </w:r>
          <w:r>
            <w:fldChar w:fldCharType="separate"/>
          </w:r>
          <w:r>
            <w:rPr>
              <w:rFonts w:hint="eastAsia"/>
              <w:lang w:val="en-US" w:eastAsia="zh-CN"/>
            </w:rPr>
            <w:t>五</w:t>
          </w:r>
          <w:r>
            <w:rPr>
              <w:rFonts w:hint="eastAsia"/>
            </w:rPr>
            <w:t>、</w:t>
          </w:r>
          <w:r>
            <w:rPr>
              <w:rFonts w:hint="eastAsia"/>
              <w:lang w:val="en-US"/>
            </w:rPr>
            <w:t>技术偏离表</w:t>
          </w:r>
          <w:r>
            <w:tab/>
          </w:r>
          <w:r>
            <w:fldChar w:fldCharType="begin"/>
          </w:r>
          <w:r>
            <w:instrText xml:space="preserve"> PAGEREF _Toc6285 \h </w:instrText>
          </w:r>
          <w:r>
            <w:fldChar w:fldCharType="separate"/>
          </w:r>
          <w:r>
            <w:t>15</w:t>
          </w:r>
          <w:r>
            <w:fldChar w:fldCharType="end"/>
          </w:r>
          <w:r>
            <w:fldChar w:fldCharType="end"/>
          </w:r>
        </w:p>
        <w:p>
          <w:pPr>
            <w:pStyle w:val="523"/>
            <w:tabs>
              <w:tab w:val="right" w:leader="dot" w:pos="9468"/>
            </w:tabs>
          </w:pPr>
          <w:r>
            <w:fldChar w:fldCharType="begin"/>
          </w:r>
          <w:r>
            <w:instrText xml:space="preserve"> HYPERLINK \l _Toc17962 </w:instrText>
          </w:r>
          <w:r>
            <w:fldChar w:fldCharType="separate"/>
          </w:r>
          <w:r>
            <w:rPr>
              <w:rFonts w:hint="eastAsia"/>
              <w:lang w:val="en-US" w:eastAsia="zh-CN"/>
            </w:rPr>
            <w:t>六</w:t>
          </w:r>
          <w:r>
            <w:rPr>
              <w:rFonts w:hint="eastAsia"/>
            </w:rPr>
            <w:t>、</w:t>
          </w:r>
          <w:r>
            <w:rPr>
              <w:rFonts w:hint="eastAsia"/>
              <w:lang w:val="en-US"/>
            </w:rPr>
            <w:t>商务偏离表</w:t>
          </w:r>
          <w:r>
            <w:tab/>
          </w:r>
          <w:r>
            <w:fldChar w:fldCharType="begin"/>
          </w:r>
          <w:r>
            <w:instrText xml:space="preserve"> PAGEREF _Toc17962 \h </w:instrText>
          </w:r>
          <w:r>
            <w:fldChar w:fldCharType="separate"/>
          </w:r>
          <w:r>
            <w:t>16</w:t>
          </w:r>
          <w:r>
            <w:fldChar w:fldCharType="end"/>
          </w:r>
          <w:r>
            <w:fldChar w:fldCharType="end"/>
          </w:r>
        </w:p>
        <w:p>
          <w:pPr>
            <w:pStyle w:val="523"/>
            <w:tabs>
              <w:tab w:val="right" w:leader="dot" w:pos="9468"/>
            </w:tabs>
          </w:pPr>
          <w:r>
            <w:fldChar w:fldCharType="begin"/>
          </w:r>
          <w:r>
            <w:instrText xml:space="preserve"> HYPERLINK \l _Toc7703 </w:instrText>
          </w:r>
          <w:r>
            <w:fldChar w:fldCharType="separate"/>
          </w:r>
          <w:r>
            <w:rPr>
              <w:rFonts w:hint="eastAsia"/>
              <w:lang w:val="en-US" w:eastAsia="zh-CN"/>
            </w:rPr>
            <w:t>七</w:t>
          </w:r>
          <w:r>
            <w:rPr>
              <w:rFonts w:hint="eastAsia"/>
              <w:lang w:eastAsia="zh-CN"/>
            </w:rPr>
            <w:t>、投标单位概况表</w:t>
          </w:r>
          <w:r>
            <w:tab/>
          </w:r>
          <w:r>
            <w:fldChar w:fldCharType="begin"/>
          </w:r>
          <w:r>
            <w:instrText xml:space="preserve"> PAGEREF _Toc7703 \h </w:instrText>
          </w:r>
          <w:r>
            <w:fldChar w:fldCharType="separate"/>
          </w:r>
          <w:r>
            <w:t>17</w:t>
          </w:r>
          <w:r>
            <w:fldChar w:fldCharType="end"/>
          </w:r>
          <w:r>
            <w:fldChar w:fldCharType="end"/>
          </w:r>
        </w:p>
        <w:p>
          <w:pPr>
            <w:pStyle w:val="523"/>
            <w:tabs>
              <w:tab w:val="right" w:leader="dot" w:pos="9468"/>
            </w:tabs>
          </w:pPr>
          <w:r>
            <w:fldChar w:fldCharType="begin"/>
          </w:r>
          <w:r>
            <w:instrText xml:space="preserve"> HYPERLINK \l _Toc23092 </w:instrText>
          </w:r>
          <w:r>
            <w:fldChar w:fldCharType="separate"/>
          </w:r>
          <w:r>
            <w:rPr>
              <w:rFonts w:hint="eastAsia"/>
              <w:lang w:val="en-US" w:eastAsia="zh-CN"/>
            </w:rPr>
            <w:t>八</w:t>
          </w:r>
          <w:r>
            <w:rPr>
              <w:rFonts w:hint="eastAsia"/>
            </w:rPr>
            <w:t>、近</w:t>
          </w:r>
          <w:r>
            <w:rPr>
              <w:rFonts w:hint="eastAsia"/>
              <w:lang w:val="en-US"/>
            </w:rPr>
            <w:t>3</w:t>
          </w:r>
          <w:r>
            <w:rPr>
              <w:rFonts w:hint="eastAsia"/>
            </w:rPr>
            <w:t xml:space="preserve"> 年完成的相似项目情况表</w:t>
          </w:r>
          <w:r>
            <w:t>（格式）</w:t>
          </w:r>
          <w:r>
            <w:tab/>
          </w:r>
          <w:r>
            <w:fldChar w:fldCharType="begin"/>
          </w:r>
          <w:r>
            <w:instrText xml:space="preserve"> PAGEREF _Toc23092 \h </w:instrText>
          </w:r>
          <w:r>
            <w:fldChar w:fldCharType="separate"/>
          </w:r>
          <w:r>
            <w:t>18</w:t>
          </w:r>
          <w:r>
            <w:fldChar w:fldCharType="end"/>
          </w:r>
          <w:r>
            <w:fldChar w:fldCharType="end"/>
          </w:r>
        </w:p>
        <w:p>
          <w:pPr>
            <w:pStyle w:val="523"/>
            <w:tabs>
              <w:tab w:val="right" w:leader="dot" w:pos="9468"/>
            </w:tabs>
          </w:pPr>
          <w:r>
            <w:fldChar w:fldCharType="begin"/>
          </w:r>
          <w:r>
            <w:instrText xml:space="preserve"> HYPERLINK \l _Toc26527 </w:instrText>
          </w:r>
          <w:r>
            <w:fldChar w:fldCharType="separate"/>
          </w:r>
          <w:r>
            <w:rPr>
              <w:rFonts w:hint="eastAsia"/>
              <w:lang w:val="en-US" w:eastAsia="zh-CN"/>
            </w:rPr>
            <w:t>九</w:t>
          </w:r>
          <w:r>
            <w:rPr>
              <w:rFonts w:hint="eastAsia"/>
            </w:rPr>
            <w:t>、近三年的财务报表</w:t>
          </w:r>
          <w:r>
            <w:tab/>
          </w:r>
          <w:r>
            <w:fldChar w:fldCharType="begin"/>
          </w:r>
          <w:r>
            <w:instrText xml:space="preserve"> PAGEREF _Toc26527 \h </w:instrText>
          </w:r>
          <w:r>
            <w:fldChar w:fldCharType="separate"/>
          </w:r>
          <w:r>
            <w:t>19</w:t>
          </w:r>
          <w:r>
            <w:fldChar w:fldCharType="end"/>
          </w:r>
          <w:r>
            <w:fldChar w:fldCharType="end"/>
          </w:r>
        </w:p>
        <w:p>
          <w:pPr>
            <w:pStyle w:val="523"/>
            <w:tabs>
              <w:tab w:val="right" w:leader="dot" w:pos="9468"/>
            </w:tabs>
          </w:pPr>
          <w:r>
            <w:fldChar w:fldCharType="begin"/>
          </w:r>
          <w:r>
            <w:instrText xml:space="preserve"> HYPERLINK \l _Toc4553 </w:instrText>
          </w:r>
          <w:r>
            <w:fldChar w:fldCharType="separate"/>
          </w:r>
          <w:r>
            <w:rPr>
              <w:rFonts w:hint="eastAsia"/>
              <w:lang w:val="en-US" w:eastAsia="zh-CN"/>
            </w:rPr>
            <w:t>十</w:t>
          </w:r>
          <w:r>
            <w:rPr>
              <w:rFonts w:hint="eastAsia"/>
            </w:rPr>
            <w:t>、投标货物近期的出厂检验报告、市级/省级/国家级检验报告</w:t>
          </w:r>
          <w:r>
            <w:tab/>
          </w:r>
          <w:r>
            <w:fldChar w:fldCharType="begin"/>
          </w:r>
          <w:r>
            <w:instrText xml:space="preserve"> PAGEREF _Toc4553 \h </w:instrText>
          </w:r>
          <w:r>
            <w:fldChar w:fldCharType="separate"/>
          </w:r>
          <w:r>
            <w:t>20</w:t>
          </w:r>
          <w:r>
            <w:fldChar w:fldCharType="end"/>
          </w:r>
          <w:r>
            <w:fldChar w:fldCharType="end"/>
          </w:r>
        </w:p>
        <w:p>
          <w:pPr>
            <w:pStyle w:val="523"/>
            <w:tabs>
              <w:tab w:val="right" w:leader="dot" w:pos="9468"/>
            </w:tabs>
          </w:pPr>
          <w:r>
            <w:fldChar w:fldCharType="begin"/>
          </w:r>
          <w:r>
            <w:instrText xml:space="preserve"> HYPERLINK \l _Toc5372 </w:instrText>
          </w:r>
          <w:r>
            <w:fldChar w:fldCharType="separate"/>
          </w:r>
          <w:r>
            <w:rPr>
              <w:rFonts w:hint="eastAsia"/>
            </w:rPr>
            <w:t>十</w:t>
          </w:r>
          <w:r>
            <w:rPr>
              <w:rFonts w:hint="eastAsia"/>
              <w:lang w:val="en-US" w:eastAsia="zh-CN"/>
            </w:rPr>
            <w:t>一</w:t>
          </w:r>
          <w:r>
            <w:rPr>
              <w:rFonts w:hint="eastAsia"/>
            </w:rPr>
            <w:t>、承诺书</w:t>
          </w:r>
          <w:r>
            <w:tab/>
          </w:r>
          <w:r>
            <w:fldChar w:fldCharType="begin"/>
          </w:r>
          <w:r>
            <w:instrText xml:space="preserve"> PAGEREF _Toc5372 \h </w:instrText>
          </w:r>
          <w:r>
            <w:fldChar w:fldCharType="separate"/>
          </w:r>
          <w:r>
            <w:t>21</w:t>
          </w:r>
          <w:r>
            <w:fldChar w:fldCharType="end"/>
          </w:r>
          <w:r>
            <w:fldChar w:fldCharType="end"/>
          </w:r>
        </w:p>
        <w:p>
          <w:pPr>
            <w:pStyle w:val="522"/>
            <w:tabs>
              <w:tab w:val="right" w:leader="dot" w:pos="9468"/>
            </w:tabs>
            <w:rPr>
              <w:b/>
            </w:rPr>
          </w:pPr>
          <w:r>
            <w:rPr>
              <w:b/>
            </w:rPr>
            <w:fldChar w:fldCharType="begin"/>
          </w:r>
          <w:r>
            <w:rPr>
              <w:b/>
            </w:rPr>
            <w:instrText xml:space="preserve"> HYPERLINK \l _Toc23417 </w:instrText>
          </w:r>
          <w:r>
            <w:rPr>
              <w:b/>
            </w:rPr>
            <w:fldChar w:fldCharType="separate"/>
          </w:r>
          <w:r>
            <w:rPr>
              <w:b/>
            </w:rPr>
            <w:t>第</w:t>
          </w:r>
          <w:r>
            <w:rPr>
              <w:rFonts w:hint="eastAsia"/>
              <w:b/>
            </w:rPr>
            <w:t>四</w:t>
          </w:r>
          <w:r>
            <w:rPr>
              <w:b/>
            </w:rPr>
            <w:t>部分  中标通知书</w:t>
          </w:r>
          <w:r>
            <w:rPr>
              <w:b/>
            </w:rPr>
            <w:tab/>
          </w:r>
          <w:r>
            <w:rPr>
              <w:b/>
            </w:rPr>
            <w:fldChar w:fldCharType="begin"/>
          </w:r>
          <w:r>
            <w:rPr>
              <w:b/>
            </w:rPr>
            <w:instrText xml:space="preserve"> PAGEREF _Toc23417 \h </w:instrText>
          </w:r>
          <w:r>
            <w:rPr>
              <w:b/>
            </w:rPr>
            <w:fldChar w:fldCharType="separate"/>
          </w:r>
          <w:r>
            <w:rPr>
              <w:b/>
            </w:rPr>
            <w:t>23</w:t>
          </w:r>
          <w:r>
            <w:rPr>
              <w:b/>
            </w:rPr>
            <w:fldChar w:fldCharType="end"/>
          </w:r>
          <w:r>
            <w:rPr>
              <w:b/>
            </w:rPr>
            <w:fldChar w:fldCharType="end"/>
          </w:r>
        </w:p>
        <w:p>
          <w:pPr>
            <w:pStyle w:val="522"/>
            <w:tabs>
              <w:tab w:val="right" w:leader="dot" w:pos="9468"/>
            </w:tabs>
            <w:rPr>
              <w:b/>
            </w:rPr>
          </w:pPr>
          <w:r>
            <w:rPr>
              <w:b/>
            </w:rPr>
            <w:fldChar w:fldCharType="begin"/>
          </w:r>
          <w:r>
            <w:rPr>
              <w:b/>
            </w:rPr>
            <w:instrText xml:space="preserve"> HYPERLINK \l _Toc22579 </w:instrText>
          </w:r>
          <w:r>
            <w:rPr>
              <w:b/>
            </w:rPr>
            <w:fldChar w:fldCharType="separate"/>
          </w:r>
          <w:r>
            <w:rPr>
              <w:rFonts w:hint="eastAsia"/>
              <w:b/>
            </w:rPr>
            <w:t>第</w:t>
          </w:r>
          <w:r>
            <w:rPr>
              <w:rFonts w:hint="eastAsia"/>
              <w:b/>
              <w:lang w:val="en-US" w:eastAsia="zh-CN"/>
            </w:rPr>
            <w:t>五</w:t>
          </w:r>
          <w:r>
            <w:rPr>
              <w:rFonts w:hint="eastAsia"/>
              <w:b/>
            </w:rPr>
            <w:t>部分 评标标准</w:t>
          </w:r>
          <w:r>
            <w:rPr>
              <w:b/>
            </w:rPr>
            <w:tab/>
          </w:r>
          <w:r>
            <w:rPr>
              <w:b/>
            </w:rPr>
            <w:fldChar w:fldCharType="begin"/>
          </w:r>
          <w:r>
            <w:rPr>
              <w:b/>
            </w:rPr>
            <w:instrText xml:space="preserve"> PAGEREF _Toc22579 \h </w:instrText>
          </w:r>
          <w:r>
            <w:rPr>
              <w:b/>
            </w:rPr>
            <w:fldChar w:fldCharType="separate"/>
          </w:r>
          <w:r>
            <w:rPr>
              <w:b/>
            </w:rPr>
            <w:t>24</w:t>
          </w:r>
          <w:r>
            <w:rPr>
              <w:b/>
            </w:rPr>
            <w:fldChar w:fldCharType="end"/>
          </w:r>
          <w:r>
            <w:rPr>
              <w:b/>
            </w:rPr>
            <w:fldChar w:fldCharType="end"/>
          </w:r>
        </w:p>
        <w:p>
          <w:pPr>
            <w:pStyle w:val="523"/>
            <w:tabs>
              <w:tab w:val="right" w:leader="dot" w:pos="9468"/>
            </w:tabs>
          </w:pPr>
          <w:r>
            <w:fldChar w:fldCharType="begin"/>
          </w:r>
          <w:r>
            <w:instrText xml:space="preserve"> HYPERLINK \l _Toc28709 </w:instrText>
          </w:r>
          <w:r>
            <w:fldChar w:fldCharType="separate"/>
          </w:r>
          <w:r>
            <w:rPr>
              <w:rFonts w:hint="default"/>
            </w:rPr>
            <w:t>一、评标办法</w:t>
          </w:r>
          <w:r>
            <w:tab/>
          </w:r>
          <w:r>
            <w:fldChar w:fldCharType="begin"/>
          </w:r>
          <w:r>
            <w:instrText xml:space="preserve"> PAGEREF _Toc28709 \h </w:instrText>
          </w:r>
          <w:r>
            <w:fldChar w:fldCharType="separate"/>
          </w:r>
          <w:r>
            <w:t>24</w:t>
          </w:r>
          <w:r>
            <w:fldChar w:fldCharType="end"/>
          </w:r>
          <w:r>
            <w:fldChar w:fldCharType="end"/>
          </w:r>
        </w:p>
        <w:p>
          <w:pPr>
            <w:pStyle w:val="523"/>
            <w:tabs>
              <w:tab w:val="right" w:leader="dot" w:pos="9468"/>
            </w:tabs>
          </w:pPr>
          <w:r>
            <w:fldChar w:fldCharType="begin"/>
          </w:r>
          <w:r>
            <w:instrText xml:space="preserve"> HYPERLINK \l _Toc16863 </w:instrText>
          </w:r>
          <w:r>
            <w:fldChar w:fldCharType="separate"/>
          </w:r>
          <w:r>
            <w:rPr>
              <w:rFonts w:hint="eastAsia"/>
              <w:lang w:val="en-US" w:eastAsia="zh-CN"/>
            </w:rPr>
            <w:t>二、</w:t>
          </w:r>
          <w:r>
            <w:rPr>
              <w:rFonts w:hint="default"/>
            </w:rPr>
            <w:t>评分标准</w:t>
          </w:r>
          <w:r>
            <w:tab/>
          </w:r>
          <w:r>
            <w:fldChar w:fldCharType="begin"/>
          </w:r>
          <w:r>
            <w:instrText xml:space="preserve"> PAGEREF _Toc16863 \h </w:instrText>
          </w:r>
          <w:r>
            <w:fldChar w:fldCharType="separate"/>
          </w:r>
          <w:r>
            <w:t>24</w:t>
          </w:r>
          <w:r>
            <w:fldChar w:fldCharType="end"/>
          </w:r>
          <w:r>
            <w:fldChar w:fldCharType="end"/>
          </w:r>
        </w:p>
        <w:p>
          <w:r>
            <w:rPr>
              <w:b/>
            </w:rPr>
            <w:fldChar w:fldCharType="end"/>
          </w:r>
        </w:p>
      </w:sdtContent>
    </w:sdt>
    <w:p>
      <w:pPr>
        <w:rPr>
          <w:rFonts w:hint="eastAsia"/>
        </w:rPr>
      </w:pPr>
      <w:r>
        <w:rPr>
          <w:rFonts w:hint="eastAsia"/>
        </w:rPr>
        <w:br w:type="page"/>
      </w:r>
    </w:p>
    <w:p>
      <w:pPr>
        <w:pStyle w:val="4"/>
        <w:bidi w:val="0"/>
      </w:pPr>
      <w:bookmarkStart w:id="0" w:name="_Toc16921"/>
      <w:r>
        <w:rPr>
          <w:rFonts w:hint="eastAsia"/>
        </w:rPr>
        <w:t>前附表</w:t>
      </w:r>
      <w:bookmarkEnd w:id="0"/>
    </w:p>
    <w:tbl>
      <w:tblPr>
        <w:tblStyle w:val="47"/>
        <w:tblW w:w="9399" w:type="dxa"/>
        <w:tblInd w:w="0" w:type="dxa"/>
        <w:tblLayout w:type="fixed"/>
        <w:tblCellMar>
          <w:top w:w="15" w:type="dxa"/>
          <w:left w:w="15" w:type="dxa"/>
          <w:bottom w:w="15" w:type="dxa"/>
          <w:right w:w="15" w:type="dxa"/>
        </w:tblCellMar>
      </w:tblPr>
      <w:tblGrid>
        <w:gridCol w:w="964"/>
        <w:gridCol w:w="1915"/>
        <w:gridCol w:w="6520"/>
      </w:tblGrid>
      <w:tr>
        <w:tblPrEx>
          <w:tblCellMar>
            <w:top w:w="15" w:type="dxa"/>
            <w:left w:w="15" w:type="dxa"/>
            <w:bottom w:w="15" w:type="dxa"/>
            <w:right w:w="15" w:type="dxa"/>
          </w:tblCellMar>
        </w:tblPrEx>
        <w:trPr>
          <w:trHeight w:val="68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号</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条 款 名 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hint="eastAsia" w:ascii="宋体" w:hAnsi="宋体" w:cs="宋体"/>
                <w:b/>
                <w:szCs w:val="21"/>
                <w:lang w:val="en-US" w:eastAsia="zh-CN"/>
              </w:rPr>
              <w:t>条 款</w:t>
            </w:r>
            <w:r>
              <w:rPr>
                <w:rFonts w:ascii="宋体" w:hAnsi="宋体" w:cs="宋体"/>
                <w:b/>
                <w:szCs w:val="21"/>
              </w:rPr>
              <w:t xml:space="preserve"> 内 容</w:t>
            </w:r>
          </w:p>
        </w:tc>
      </w:tr>
      <w:tr>
        <w:tblPrEx>
          <w:tblCellMar>
            <w:top w:w="15" w:type="dxa"/>
            <w:left w:w="15" w:type="dxa"/>
            <w:bottom w:w="15" w:type="dxa"/>
            <w:right w:w="15" w:type="dxa"/>
          </w:tblCellMar>
        </w:tblPrEx>
        <w:trPr>
          <w:trHeight w:val="42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项目名称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lang w:eastAsia="zh-CN"/>
              </w:rPr>
            </w:pPr>
            <w:r>
              <w:rPr>
                <w:rFonts w:hint="eastAsia" w:ascii="Times New Roman" w:hAnsi="Times New Roman" w:cs="Times New Roman"/>
                <w:lang w:val="en-US" w:eastAsia="zh-CN"/>
              </w:rPr>
              <w:t>西吉县葫芦河中型灌区续建配套与节水改造工程项目</w:t>
            </w:r>
          </w:p>
        </w:tc>
      </w:tr>
      <w:tr>
        <w:tblPrEx>
          <w:tblCellMar>
            <w:top w:w="15" w:type="dxa"/>
            <w:left w:w="15" w:type="dxa"/>
            <w:bottom w:w="15" w:type="dxa"/>
            <w:right w:w="15" w:type="dxa"/>
          </w:tblCellMar>
        </w:tblPrEx>
        <w:trPr>
          <w:trHeight w:val="42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招标编号</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cs="宋体"/>
                <w:kern w:val="1"/>
                <w:szCs w:val="21"/>
                <w:lang w:val="en-US"/>
              </w:rPr>
            </w:pPr>
            <w:r>
              <w:rPr>
                <w:rFonts w:hint="eastAsia" w:ascii="宋体" w:hAnsi="宋体" w:cs="宋体"/>
                <w:szCs w:val="21"/>
                <w:lang w:eastAsia="zh-CN"/>
              </w:rPr>
              <w:t>DYCG-2021-B-0</w:t>
            </w:r>
            <w:r>
              <w:rPr>
                <w:rFonts w:hint="eastAsia" w:ascii="宋体" w:hAnsi="宋体" w:cs="宋体"/>
                <w:szCs w:val="21"/>
                <w:lang w:val="en-US" w:eastAsia="zh-CN"/>
              </w:rPr>
              <w:t>9</w:t>
            </w:r>
            <w:r>
              <w:rPr>
                <w:rFonts w:hint="eastAsia" w:ascii="宋体" w:hAnsi="宋体" w:cs="宋体"/>
                <w:szCs w:val="21"/>
                <w:lang w:eastAsia="zh-CN"/>
              </w:rPr>
              <w:t>-0</w:t>
            </w:r>
            <w:r>
              <w:rPr>
                <w:rFonts w:hint="eastAsia" w:ascii="宋体" w:hAnsi="宋体" w:cs="宋体"/>
                <w:szCs w:val="21"/>
                <w:lang w:val="en-US" w:eastAsia="zh-CN"/>
              </w:rPr>
              <w:t>2</w:t>
            </w:r>
          </w:p>
        </w:tc>
      </w:tr>
      <w:tr>
        <w:tblPrEx>
          <w:tblCellMar>
            <w:top w:w="15" w:type="dxa"/>
            <w:left w:w="15" w:type="dxa"/>
            <w:bottom w:w="15" w:type="dxa"/>
            <w:right w:w="15" w:type="dxa"/>
          </w:tblCellMar>
        </w:tblPrEx>
        <w:trPr>
          <w:trHeight w:val="380"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val="en-US" w:eastAsia="zh-CN"/>
              </w:rPr>
            </w:pPr>
            <w:r>
              <w:rPr>
                <w:rFonts w:ascii="宋体" w:hAnsi="宋体" w:cs="宋体"/>
                <w:szCs w:val="21"/>
              </w:rPr>
              <w:t>招标</w:t>
            </w:r>
            <w:r>
              <w:rPr>
                <w:rFonts w:hint="eastAsia" w:ascii="宋体" w:hAnsi="宋体" w:cs="宋体"/>
                <w:szCs w:val="21"/>
                <w:lang w:val="en-US" w:eastAsia="zh-CN"/>
              </w:rPr>
              <w:t>范围</w:t>
            </w:r>
          </w:p>
        </w:tc>
        <w:tc>
          <w:tcPr>
            <w:tcW w:w="6520" w:type="dxa"/>
            <w:tcBorders>
              <w:top w:val="single" w:color="000000" w:sz="8" w:space="0"/>
              <w:left w:val="single" w:color="000000" w:sz="8" w:space="0"/>
              <w:bottom w:val="single" w:color="000000" w:sz="8" w:space="0"/>
              <w:right w:val="single" w:color="000000" w:sz="8" w:space="0"/>
            </w:tcBorders>
            <w:vAlign w:val="center"/>
          </w:tcPr>
          <w:p>
            <w:pPr>
              <w:bidi w:val="0"/>
              <w:spacing w:line="240" w:lineRule="auto"/>
              <w:rPr>
                <w:rFonts w:hint="eastAsia"/>
                <w:lang w:val="en-US" w:eastAsia="zh-CN"/>
              </w:rPr>
            </w:pPr>
            <w:r>
              <w:rPr>
                <w:rFonts w:hint="eastAsia"/>
                <w:lang w:val="en-US" w:eastAsia="zh-CN"/>
              </w:rPr>
              <w:t>第一标段：预应力钢筋混凝土管</w:t>
            </w:r>
          </w:p>
          <w:p>
            <w:pPr>
              <w:widowControl/>
              <w:jc w:val="left"/>
              <w:rPr>
                <w:rFonts w:hint="default" w:ascii="宋体" w:hAnsi="宋体" w:eastAsia="宋体" w:cs="宋体"/>
                <w:kern w:val="1"/>
                <w:szCs w:val="21"/>
                <w:lang w:val="en-US" w:eastAsia="zh-CN"/>
              </w:rPr>
            </w:pPr>
            <w:r>
              <w:rPr>
                <w:rFonts w:hint="eastAsia" w:ascii="Times New Roman" w:hAnsi="Times New Roman" w:cs="Times New Roman"/>
                <w:color w:val="000000"/>
                <w:lang w:val="en-US" w:eastAsia="zh-CN"/>
              </w:rPr>
              <w:t>第二标段：钢丝网骨架PE复合管材及管件</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4</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w:t>
            </w:r>
            <w:r>
              <w:rPr>
                <w:rFonts w:hint="eastAsia" w:ascii="宋体" w:hAnsi="宋体" w:cs="宋体"/>
                <w:szCs w:val="21"/>
              </w:rPr>
              <w:t>单位</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名  称：</w:t>
            </w:r>
            <w:r>
              <w:rPr>
                <w:rFonts w:hint="eastAsia" w:ascii="宋体" w:hAnsi="宋体" w:cs="宋体"/>
                <w:szCs w:val="21"/>
              </w:rPr>
              <w:t>甘肃大禹节水集团水利水电工程有限责任公司</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地  址：</w:t>
            </w:r>
            <w:r>
              <w:rPr>
                <w:rFonts w:hint="eastAsia" w:ascii="宋体" w:hAnsi="宋体" w:cs="宋体"/>
                <w:color w:val="000000"/>
                <w:szCs w:val="21"/>
                <w:lang w:val="en-US" w:eastAsia="zh-CN"/>
              </w:rPr>
              <w:t>兰州市七里河区西津西路16号兰州中心41层</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1"/>
                <w:szCs w:val="21"/>
                <w:lang w:eastAsia="zh-CN"/>
              </w:rPr>
            </w:pPr>
            <w:r>
              <w:rPr>
                <w:rFonts w:ascii="宋体" w:hAnsi="宋体" w:cs="宋体"/>
                <w:szCs w:val="21"/>
              </w:rPr>
              <w:t>联系人：</w:t>
            </w:r>
            <w:r>
              <w:rPr>
                <w:rFonts w:hint="eastAsia" w:ascii="宋体" w:hAnsi="宋体" w:cs="宋体"/>
                <w:szCs w:val="21"/>
                <w:lang w:val="en-US" w:eastAsia="zh-CN"/>
              </w:rPr>
              <w:t>甘万春</w:t>
            </w:r>
            <w:r>
              <w:rPr>
                <w:rFonts w:hint="eastAsia" w:ascii="宋体" w:hAnsi="宋体" w:cs="宋体"/>
                <w:szCs w:val="21"/>
              </w:rPr>
              <w:t xml:space="preserve">  </w:t>
            </w:r>
            <w:r>
              <w:rPr>
                <w:rFonts w:hint="eastAsia" w:ascii="宋体" w:hAnsi="宋体" w:cs="宋体"/>
                <w:szCs w:val="21"/>
                <w:lang w:val="en-US" w:eastAsia="zh-CN"/>
              </w:rPr>
              <w:t>田志云</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 xml:space="preserve">18020021691 </w:t>
            </w:r>
            <w:r>
              <w:rPr>
                <w:rFonts w:hint="eastAsia" w:ascii="宋体" w:hAnsi="宋体" w:cs="宋体"/>
                <w:sz w:val="24"/>
                <w:szCs w:val="24"/>
                <w:lang w:val="en-US" w:eastAsia="zh-CN"/>
              </w:rPr>
              <w:t>13893745686</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资金来源</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自有资金</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6</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资金落实情况</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已落实</w:t>
            </w:r>
          </w:p>
        </w:tc>
      </w:tr>
      <w:tr>
        <w:tblPrEx>
          <w:tblCellMar>
            <w:top w:w="15" w:type="dxa"/>
            <w:left w:w="15" w:type="dxa"/>
            <w:bottom w:w="15" w:type="dxa"/>
            <w:right w:w="15" w:type="dxa"/>
          </w:tblCellMar>
        </w:tblPrEx>
        <w:trPr>
          <w:trHeight w:val="705"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供货</w:t>
            </w:r>
            <w:r>
              <w:rPr>
                <w:rFonts w:hint="eastAsia" w:ascii="宋体" w:hAnsi="宋体" w:cs="宋体"/>
                <w:szCs w:val="21"/>
              </w:rPr>
              <w:t>周期</w:t>
            </w:r>
            <w:r>
              <w:rPr>
                <w:rFonts w:ascii="宋体" w:hAnsi="宋体" w:cs="宋体"/>
                <w:szCs w:val="21"/>
              </w:rPr>
              <w:t>及地点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bidi w:val="0"/>
              <w:rPr>
                <w:rFonts w:hint="default" w:eastAsia="宋体"/>
                <w:lang w:val="en-US" w:eastAsia="zh-CN"/>
              </w:rPr>
            </w:pPr>
            <w:r>
              <w:rPr>
                <w:rFonts w:hint="eastAsia"/>
              </w:rPr>
              <w:t>供货周期：</w:t>
            </w:r>
            <w:r>
              <w:rPr>
                <w:rFonts w:hint="eastAsia"/>
                <w:lang w:val="en-US" w:eastAsia="zh-CN"/>
              </w:rPr>
              <w:t>50天 （依据项目进度实际需求）</w:t>
            </w:r>
          </w:p>
          <w:p>
            <w:pPr>
              <w:bidi w:val="0"/>
              <w:rPr>
                <w:rFonts w:hint="eastAsia" w:ascii="宋体" w:hAnsi="宋体" w:eastAsia="宋体" w:cs="宋体"/>
                <w:kern w:val="1"/>
                <w:szCs w:val="21"/>
                <w:lang w:val="en-US" w:eastAsia="zh-CN"/>
              </w:rPr>
            </w:pPr>
            <w:r>
              <w:t>供货地点：</w:t>
            </w:r>
            <w:r>
              <w:rPr>
                <w:rFonts w:hint="eastAsia" w:ascii="宋体" w:hAnsi="宋体" w:cs="宋体"/>
                <w:szCs w:val="21"/>
                <w:lang w:val="en-US" w:eastAsia="zh-CN"/>
              </w:rPr>
              <w:t>宁夏固原市西吉县</w:t>
            </w:r>
            <w:r>
              <w:rPr>
                <w:rFonts w:hint="eastAsia"/>
                <w:lang w:val="en-US" w:eastAsia="zh-CN"/>
              </w:rPr>
              <w:t xml:space="preserve"> </w:t>
            </w:r>
            <w:r>
              <w:rPr>
                <w:rFonts w:hint="eastAsia" w:ascii="宋体" w:hAnsi="宋体" w:cs="宋体"/>
                <w:szCs w:val="21"/>
                <w:lang w:val="en-US" w:eastAsia="zh-CN"/>
              </w:rPr>
              <w:t xml:space="preserve"> </w:t>
            </w:r>
          </w:p>
        </w:tc>
      </w:tr>
      <w:tr>
        <w:tblPrEx>
          <w:tblCellMar>
            <w:top w:w="15" w:type="dxa"/>
            <w:left w:w="15" w:type="dxa"/>
            <w:bottom w:w="15" w:type="dxa"/>
            <w:right w:w="15" w:type="dxa"/>
          </w:tblCellMar>
        </w:tblPrEx>
        <w:trPr>
          <w:trHeight w:val="705"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cs="宋体"/>
                <w:szCs w:val="21"/>
                <w:lang w:val="en-US" w:eastAsia="zh-CN"/>
              </w:rPr>
            </w:pPr>
            <w:r>
              <w:rPr>
                <w:rFonts w:hint="eastAsia" w:ascii="宋体" w:hAnsi="宋体" w:cs="宋体"/>
                <w:szCs w:val="21"/>
                <w:lang w:val="en-US" w:eastAsia="zh-CN"/>
              </w:rPr>
              <w:t>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付款方式</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lang w:val="en-US" w:eastAsia="zh-CN"/>
              </w:rPr>
            </w:pPr>
            <w:r>
              <w:rPr>
                <w:rFonts w:hint="eastAsia" w:ascii="宋体" w:hAnsi="宋体" w:cs="宋体"/>
                <w:szCs w:val="21"/>
                <w:lang w:val="en-US" w:eastAsia="zh-CN"/>
              </w:rPr>
              <w:t>1、甲方收到货物后无质量问题90天内支付乙方合同总金额95%货款（以电子银行承兑方式支付）。</w:t>
            </w:r>
          </w:p>
          <w:p>
            <w:pPr>
              <w:widowControl/>
              <w:jc w:val="left"/>
            </w:pPr>
            <w:r>
              <w:rPr>
                <w:rFonts w:hint="eastAsia" w:ascii="宋体" w:hAnsi="宋体" w:cs="宋体"/>
                <w:szCs w:val="21"/>
                <w:lang w:val="en-US" w:eastAsia="zh-CN"/>
              </w:rPr>
              <w:t>2、质保金为合同总额的5%，验收合格后一年，无质量问题一次性无息支付。</w:t>
            </w:r>
          </w:p>
        </w:tc>
      </w:tr>
      <w:tr>
        <w:tblPrEx>
          <w:tblCellMar>
            <w:top w:w="15" w:type="dxa"/>
            <w:left w:w="15" w:type="dxa"/>
            <w:bottom w:w="15" w:type="dxa"/>
            <w:right w:w="15" w:type="dxa"/>
          </w:tblCellMar>
        </w:tblPrEx>
        <w:trPr>
          <w:trHeight w:val="348"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kern w:val="1"/>
                <w:szCs w:val="21"/>
                <w:lang w:eastAsia="zh-CN"/>
              </w:rPr>
            </w:pPr>
            <w:r>
              <w:rPr>
                <w:rFonts w:hint="eastAsia" w:ascii="宋体" w:hAnsi="宋体" w:cs="宋体"/>
                <w:szCs w:val="21"/>
                <w:lang w:val="en-US" w:eastAsia="zh-CN"/>
              </w:rPr>
              <w:t>9</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质量要求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合 格</w:t>
            </w:r>
          </w:p>
        </w:tc>
      </w:tr>
      <w:tr>
        <w:tblPrEx>
          <w:tblCellMar>
            <w:top w:w="15" w:type="dxa"/>
            <w:left w:w="15" w:type="dxa"/>
            <w:bottom w:w="15" w:type="dxa"/>
            <w:right w:w="15" w:type="dxa"/>
          </w:tblCellMar>
        </w:tblPrEx>
        <w:trPr>
          <w:trHeight w:val="845"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szCs w:val="21"/>
                <w:lang w:val="en-US" w:eastAsia="zh-CN"/>
              </w:rPr>
              <w:t>10</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投标人资质条件、能力和信誉</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（1）资质条件：</w:t>
            </w:r>
            <w:r>
              <w:rPr>
                <w:rFonts w:hint="eastAsia" w:ascii="宋体" w:hAnsi="宋体" w:cs="宋体"/>
                <w:szCs w:val="21"/>
              </w:rPr>
              <w:t>生产制造厂家必须是依法注册登记，具有独立法人资格，取得生产资格</w:t>
            </w:r>
            <w:r>
              <w:rPr>
                <w:rFonts w:hint="eastAsia" w:ascii="宋体" w:hAnsi="宋体" w:cs="宋体"/>
                <w:szCs w:val="21"/>
                <w:lang w:eastAsia="zh-CN"/>
              </w:rPr>
              <w:t>，</w:t>
            </w:r>
            <w:r>
              <w:rPr>
                <w:rFonts w:hint="eastAsia" w:ascii="宋体" w:hAnsi="宋体" w:cs="宋体"/>
                <w:szCs w:val="21"/>
              </w:rPr>
              <w:t>近三年来应承担过与本项目类似的项目；提供项目合同</w:t>
            </w:r>
            <w:r>
              <w:rPr>
                <w:rFonts w:hint="eastAsia" w:ascii="宋体" w:hAnsi="宋体"/>
                <w:szCs w:val="21"/>
              </w:rPr>
              <w:t>。</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（2）财务状况：近三年各项盈利指标均上升，且现金流指标均为正现金流，流动资金充裕；</w:t>
            </w:r>
          </w:p>
        </w:tc>
      </w:tr>
      <w:tr>
        <w:tblPrEx>
          <w:tblCellMar>
            <w:top w:w="15" w:type="dxa"/>
            <w:left w:w="15" w:type="dxa"/>
            <w:bottom w:w="15" w:type="dxa"/>
            <w:right w:w="15" w:type="dxa"/>
          </w:tblCellMar>
        </w:tblPrEx>
        <w:trPr>
          <w:trHeight w:val="451"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（3）供应能力：</w:t>
            </w:r>
            <w:r>
              <w:rPr>
                <w:rFonts w:hint="eastAsia" w:ascii="宋体" w:hAnsi="宋体" w:cs="宋体"/>
                <w:szCs w:val="21"/>
              </w:rPr>
              <w:t>能及时按照我方要求供应招标</w:t>
            </w:r>
            <w:r>
              <w:rPr>
                <w:rFonts w:hint="eastAsia" w:ascii="宋体" w:hAnsi="宋体" w:cs="宋体"/>
                <w:szCs w:val="21"/>
                <w:lang w:val="en-US" w:eastAsia="zh-CN"/>
              </w:rPr>
              <w:t>材料</w:t>
            </w:r>
            <w:r>
              <w:rPr>
                <w:rFonts w:hint="eastAsia" w:ascii="宋体" w:hAnsi="宋体" w:cs="宋体"/>
                <w:szCs w:val="21"/>
              </w:rPr>
              <w:t>；</w:t>
            </w:r>
            <w:r>
              <w:rPr>
                <w:rFonts w:ascii="宋体" w:hAnsi="宋体" w:cs="宋体"/>
                <w:kern w:val="1"/>
                <w:szCs w:val="21"/>
              </w:rPr>
              <w:t xml:space="preserve">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（4）信誉情况：近三年内无产品质量重大事故，无公开被投诉，无违法</w:t>
            </w:r>
            <w:r>
              <w:rPr>
                <w:rFonts w:hint="eastAsia" w:ascii="宋体" w:hAnsi="宋体" w:cs="宋体"/>
                <w:szCs w:val="21"/>
              </w:rPr>
              <w:t>、</w:t>
            </w:r>
            <w:r>
              <w:rPr>
                <w:rFonts w:ascii="宋体" w:hAnsi="宋体" w:cs="宋体"/>
                <w:szCs w:val="21"/>
              </w:rPr>
              <w:t>违纪行为；</w:t>
            </w:r>
          </w:p>
        </w:tc>
      </w:tr>
      <w:tr>
        <w:tblPrEx>
          <w:tblCellMar>
            <w:top w:w="15" w:type="dxa"/>
            <w:left w:w="15" w:type="dxa"/>
            <w:bottom w:w="15" w:type="dxa"/>
            <w:right w:w="15" w:type="dxa"/>
          </w:tblCellMar>
        </w:tblPrEx>
        <w:trPr>
          <w:trHeight w:val="1242"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（5）其他要求：参加投标的单位，请携带</w:t>
            </w:r>
            <w:r>
              <w:rPr>
                <w:kern w:val="1"/>
                <w:szCs w:val="21"/>
              </w:rPr>
              <w:t>法定代表人身份证明</w:t>
            </w:r>
            <w:r>
              <w:rPr>
                <w:rFonts w:hint="eastAsia"/>
                <w:kern w:val="1"/>
                <w:szCs w:val="21"/>
              </w:rPr>
              <w:t>、</w:t>
            </w:r>
            <w:r>
              <w:rPr>
                <w:rFonts w:ascii="宋体" w:hAnsi="宋体" w:cs="宋体"/>
                <w:szCs w:val="21"/>
              </w:rPr>
              <w:t>法人授权委托书、委托代理人身份证、企业营业执照、特殊行业生产许可批件、ISO质量管理体系认证等相关证件</w:t>
            </w:r>
            <w:r>
              <w:rPr>
                <w:rFonts w:hint="eastAsia" w:ascii="宋体" w:hAnsi="宋体" w:cs="宋体"/>
                <w:szCs w:val="21"/>
              </w:rPr>
              <w:t>原件及近三年省级以上年度检验报告</w:t>
            </w:r>
            <w:r>
              <w:rPr>
                <w:rFonts w:hint="eastAsia" w:ascii="宋体" w:hAnsi="宋体" w:cs="宋体"/>
                <w:szCs w:val="21"/>
                <w:lang w:eastAsia="zh-CN"/>
              </w:rPr>
              <w:t>，</w:t>
            </w:r>
            <w:r>
              <w:rPr>
                <w:rFonts w:hint="eastAsia" w:ascii="宋体" w:hAnsi="宋体" w:cs="宋体"/>
                <w:szCs w:val="21"/>
                <w:lang w:val="en-US" w:eastAsia="zh-CN"/>
              </w:rPr>
              <w:t>并携带单位公章</w:t>
            </w:r>
            <w:r>
              <w:rPr>
                <w:rFonts w:hint="eastAsia" w:ascii="宋体" w:hAnsi="宋体" w:cs="宋体"/>
                <w:szCs w:val="21"/>
              </w:rPr>
              <w:t>。</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是否接受联合体投标</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35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投标预备会</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ascii="宋体" w:hAnsi="宋体" w:cs="宋体"/>
                <w:szCs w:val="21"/>
              </w:rPr>
              <w:t>不召开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投标人提出</w:t>
            </w:r>
            <w:r>
              <w:rPr>
                <w:rFonts w:hint="eastAsia" w:ascii="宋体" w:hAnsi="宋体" w:cs="宋体"/>
                <w:szCs w:val="21"/>
                <w:lang w:val="en-US" w:eastAsia="zh-CN"/>
              </w:rPr>
              <w:t>疑问</w:t>
            </w:r>
            <w:r>
              <w:rPr>
                <w:rFonts w:ascii="宋体" w:hAnsi="宋体" w:cs="宋体"/>
                <w:szCs w:val="21"/>
              </w:rPr>
              <w:t>的截止时间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投标截止日前</w:t>
            </w:r>
            <w:r>
              <w:rPr>
                <w:rFonts w:hint="eastAsia" w:ascii="宋体" w:hAnsi="宋体" w:cs="宋体"/>
                <w:szCs w:val="21"/>
              </w:rPr>
              <w:t>2</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4</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招标人书面澄清的时间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w:t>
            </w:r>
            <w:r>
              <w:rPr>
                <w:rFonts w:hint="eastAsia" w:ascii="宋体" w:hAnsi="宋体" w:cs="宋体"/>
                <w:szCs w:val="21"/>
                <w:lang w:val="en-US" w:eastAsia="zh-CN"/>
              </w:rPr>
              <w:t>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分</w:t>
            </w:r>
            <w:r>
              <w:rPr>
                <w:rFonts w:hint="eastAsia" w:ascii="宋体" w:hAnsi="宋体" w:cs="宋体"/>
                <w:szCs w:val="21"/>
              </w:rPr>
              <w:t>包，转包</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宋体" w:hAnsi="宋体" w:eastAsia="宋体" w:cs="宋体"/>
                <w:color w:val="000000"/>
                <w:kern w:val="1"/>
                <w:sz w:val="21"/>
                <w:szCs w:val="21"/>
                <w:lang w:val="en-US" w:eastAsia="zh-CN" w:bidi="ar-SA"/>
              </w:rPr>
            </w:pPr>
            <w:r>
              <w:rPr>
                <w:rFonts w:ascii="宋体" w:hAnsi="宋体" w:cs="宋体"/>
                <w:szCs w:val="21"/>
              </w:rPr>
              <w:t>17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w:t>
            </w:r>
            <w:r>
              <w:rPr>
                <w:rFonts w:hint="eastAsia" w:ascii="宋体" w:hAnsi="宋体" w:cs="宋体"/>
                <w:szCs w:val="21"/>
                <w:lang w:val="en-US" w:eastAsia="zh-CN"/>
              </w:rPr>
              <w:t>报名</w:t>
            </w:r>
            <w:r>
              <w:rPr>
                <w:rFonts w:ascii="宋体" w:hAnsi="宋体" w:cs="宋体"/>
                <w:szCs w:val="21"/>
              </w:rPr>
              <w:t>截止时间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2021年</w:t>
            </w:r>
            <w:r>
              <w:rPr>
                <w:rFonts w:hint="eastAsia" w:ascii="宋体" w:hAnsi="宋体" w:cs="宋体"/>
                <w:kern w:val="1"/>
                <w:szCs w:val="21"/>
                <w:lang w:val="en-US" w:eastAsia="zh-CN"/>
              </w:rPr>
              <w:t>9</w:t>
            </w:r>
            <w:r>
              <w:rPr>
                <w:rFonts w:hint="eastAsia" w:ascii="宋体" w:hAnsi="宋体" w:cs="宋体"/>
                <w:kern w:val="1"/>
                <w:szCs w:val="21"/>
              </w:rPr>
              <w:t>月</w:t>
            </w:r>
            <w:r>
              <w:rPr>
                <w:rFonts w:hint="eastAsia" w:ascii="宋体" w:hAnsi="宋体" w:cs="宋体"/>
                <w:kern w:val="1"/>
                <w:szCs w:val="21"/>
                <w:lang w:val="en-US" w:eastAsia="zh-CN"/>
              </w:rPr>
              <w:t>14</w:t>
            </w:r>
            <w:r>
              <w:rPr>
                <w:rFonts w:hint="eastAsia" w:ascii="宋体" w:hAnsi="宋体" w:cs="宋体"/>
                <w:kern w:val="1"/>
                <w:szCs w:val="21"/>
              </w:rPr>
              <w:t>日1</w:t>
            </w:r>
            <w:r>
              <w:rPr>
                <w:rFonts w:hint="eastAsia" w:ascii="宋体" w:hAnsi="宋体" w:cs="宋体"/>
                <w:kern w:val="1"/>
                <w:szCs w:val="21"/>
                <w:lang w:val="en-US" w:eastAsia="zh-CN"/>
              </w:rPr>
              <w:t>7</w:t>
            </w:r>
            <w:r>
              <w:rPr>
                <w:rFonts w:hint="eastAsia" w:ascii="宋体" w:hAnsi="宋体" w:cs="宋体"/>
                <w:kern w:val="1"/>
                <w:szCs w:val="21"/>
              </w:rPr>
              <w:t>:30</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18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投标人确认收到招标文件澄清的时间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19</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投标人确认收到招标文件修改的时间</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sz w:val="21"/>
                <w:szCs w:val="21"/>
                <w:lang w:val="en-US" w:eastAsia="zh-CN" w:bidi="ar-SA"/>
              </w:rPr>
            </w:pPr>
            <w:r>
              <w:rPr>
                <w:rFonts w:hint="eastAsia" w:ascii="宋体" w:hAnsi="宋体" w:cs="宋体"/>
                <w:szCs w:val="21"/>
              </w:rPr>
              <w:t>20</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投标有效期</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开标之日起</w:t>
            </w:r>
            <w:r>
              <w:rPr>
                <w:rFonts w:hint="eastAsia" w:ascii="宋体" w:hAnsi="宋体" w:cs="宋体"/>
                <w:szCs w:val="21"/>
              </w:rPr>
              <w:t>30</w:t>
            </w:r>
            <w:r>
              <w:rPr>
                <w:rFonts w:ascii="宋体" w:hAnsi="宋体" w:cs="宋体"/>
                <w:szCs w:val="21"/>
              </w:rPr>
              <w:t>日内</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sz w:val="21"/>
                <w:szCs w:val="21"/>
                <w:lang w:val="en-US" w:eastAsia="zh-CN" w:bidi="ar-SA"/>
              </w:rPr>
            </w:pPr>
            <w:r>
              <w:rPr>
                <w:rFonts w:hint="eastAsia" w:ascii="宋体" w:hAnsi="宋体" w:cs="宋体"/>
                <w:szCs w:val="21"/>
              </w:rPr>
              <w:t>21</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投标保证金</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highlight w:val="yellow"/>
              </w:rPr>
            </w:pPr>
            <w:r>
              <w:rPr>
                <w:rFonts w:hint="eastAsia" w:ascii="宋体" w:hAnsi="宋体" w:cs="宋体"/>
                <w:szCs w:val="21"/>
                <w:highlight w:val="yellow"/>
              </w:rPr>
              <w:t>/</w:t>
            </w:r>
          </w:p>
        </w:tc>
      </w:tr>
      <w:tr>
        <w:tblPrEx>
          <w:tblCellMar>
            <w:top w:w="15" w:type="dxa"/>
            <w:left w:w="15" w:type="dxa"/>
            <w:bottom w:w="15" w:type="dxa"/>
            <w:right w:w="15" w:type="dxa"/>
          </w:tblCellMar>
        </w:tblPrEx>
        <w:trPr>
          <w:trHeight w:val="373"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22</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投标保证金交款账号</w:t>
            </w:r>
          </w:p>
        </w:tc>
        <w:tc>
          <w:tcPr>
            <w:tcW w:w="6520" w:type="dxa"/>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hint="eastAsia" w:ascii="宋体" w:hAnsi="宋体" w:eastAsia="宋体" w:cs="宋体"/>
                <w:szCs w:val="21"/>
                <w:highlight w:val="yellow"/>
                <w:lang w:val="en-US" w:eastAsia="zh-CN"/>
              </w:rPr>
            </w:pPr>
            <w:r>
              <w:rPr>
                <w:rFonts w:hint="eastAsia" w:ascii="宋体" w:hAnsi="宋体" w:cs="宋体"/>
                <w:szCs w:val="21"/>
                <w:highlight w:val="yellow"/>
                <w:lang w:val="en-US" w:eastAsia="zh-CN"/>
              </w:rPr>
              <w:t>/</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近年财务状况的年份要求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4</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近年完成的类似项目的年份要求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25</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近年发生的诉讼及仲裁情况的年份要求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近三年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6</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是否允许递交备选投标方案</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szCs w:val="21"/>
              </w:rPr>
              <w:t>27</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签字或盖章要求</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按招标文件规定格式要求</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2</w:t>
            </w:r>
            <w:r>
              <w:rPr>
                <w:rFonts w:hint="eastAsia" w:ascii="宋体" w:hAnsi="宋体" w:cs="宋体"/>
                <w:szCs w:val="21"/>
              </w:rPr>
              <w:t>8</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投标文件份数</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szCs w:val="21"/>
                <w:lang w:val="en-US" w:eastAsia="zh-CN"/>
              </w:rPr>
              <w:t>纸质标书4本、其中正本1份，副本3份、电子标书1本。</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封套上写明</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 xml:space="preserve">（1）投标的项目名称具体标段编号；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（2）投标书封套加盖公司公章密封，在</w:t>
            </w:r>
            <w:r>
              <w:rPr>
                <w:rFonts w:hint="eastAsia" w:ascii="宋体" w:hAnsi="宋体" w:cs="宋体"/>
                <w:szCs w:val="21"/>
              </w:rPr>
              <w:t>2021</w:t>
            </w:r>
            <w:r>
              <w:rPr>
                <w:rFonts w:ascii="宋体" w:hAnsi="宋体" w:cs="宋体"/>
                <w:szCs w:val="21"/>
              </w:rPr>
              <w:t>年</w:t>
            </w:r>
            <w:r>
              <w:rPr>
                <w:rFonts w:hint="eastAsia" w:ascii="宋体" w:hAnsi="宋体" w:cs="宋体"/>
                <w:szCs w:val="21"/>
                <w:lang w:val="en-US" w:eastAsia="zh-CN"/>
              </w:rPr>
              <w:t>9</w:t>
            </w:r>
            <w:r>
              <w:rPr>
                <w:rFonts w:ascii="宋体" w:hAnsi="宋体" w:cs="宋体"/>
                <w:szCs w:val="21"/>
              </w:rPr>
              <w:t>月</w:t>
            </w:r>
            <w:r>
              <w:rPr>
                <w:rFonts w:hint="eastAsia" w:ascii="宋体" w:hAnsi="宋体" w:cs="宋体"/>
                <w:szCs w:val="21"/>
                <w:lang w:val="en-US" w:eastAsia="zh-CN"/>
              </w:rPr>
              <w:t>15</w:t>
            </w:r>
            <w:r>
              <w:rPr>
                <w:rFonts w:ascii="宋体" w:hAnsi="宋体" w:cs="宋体"/>
                <w:szCs w:val="21"/>
              </w:rPr>
              <w:t>日</w:t>
            </w:r>
            <w:r>
              <w:rPr>
                <w:rFonts w:hint="eastAsia" w:ascii="宋体" w:hAnsi="宋体" w:cs="宋体"/>
                <w:szCs w:val="21"/>
                <w:lang w:val="en-US" w:eastAsia="zh-CN"/>
              </w:rPr>
              <w:t>上午9</w:t>
            </w:r>
            <w:r>
              <w:rPr>
                <w:rFonts w:ascii="宋体" w:hAnsi="宋体" w:cs="宋体"/>
                <w:szCs w:val="21"/>
              </w:rPr>
              <w:t>：</w:t>
            </w:r>
            <w:r>
              <w:rPr>
                <w:rFonts w:hint="eastAsia" w:ascii="宋体" w:hAnsi="宋体" w:cs="宋体"/>
                <w:szCs w:val="21"/>
                <w:lang w:val="en-US" w:eastAsia="zh-CN"/>
              </w:rPr>
              <w:t>0</w:t>
            </w:r>
            <w:r>
              <w:rPr>
                <w:rFonts w:ascii="宋体" w:hAnsi="宋体" w:cs="宋体"/>
                <w:szCs w:val="21"/>
              </w:rPr>
              <w:t>0（规定的开标时间）前不准启封；</w:t>
            </w:r>
          </w:p>
        </w:tc>
      </w:tr>
      <w:tr>
        <w:tblPrEx>
          <w:tblCellMar>
            <w:top w:w="15" w:type="dxa"/>
            <w:left w:w="15" w:type="dxa"/>
            <w:bottom w:w="15" w:type="dxa"/>
            <w:right w:w="15" w:type="dxa"/>
          </w:tblCellMar>
        </w:tblPrEx>
        <w:trPr>
          <w:trHeight w:val="337"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（3）投标人的名称和地址。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kern w:val="1"/>
                <w:szCs w:val="21"/>
              </w:rPr>
              <w:t>30</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递交投标文件地点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1"/>
                <w:szCs w:val="21"/>
                <w:lang w:val="en-US" w:eastAsia="zh-CN"/>
              </w:rPr>
            </w:pPr>
            <w:r>
              <w:rPr>
                <w:rFonts w:hint="eastAsia" w:ascii="宋体" w:hAnsi="宋体" w:cs="宋体"/>
                <w:color w:val="000000"/>
                <w:szCs w:val="21"/>
                <w:lang w:val="en-US" w:eastAsia="zh-CN"/>
              </w:rPr>
              <w:t>兰州市七里河区西津西路16号兰州中心41层</w:t>
            </w:r>
            <w:r>
              <w:rPr>
                <w:rFonts w:ascii="宋体" w:hAnsi="宋体" w:cs="宋体"/>
                <w:kern w:val="1"/>
                <w:szCs w:val="21"/>
              </w:rPr>
              <w:t>大禹节水集团股份有限公司</w:t>
            </w:r>
            <w:r>
              <w:rPr>
                <w:rFonts w:hint="eastAsia" w:ascii="宋体" w:hAnsi="宋体" w:cs="宋体"/>
                <w:kern w:val="1"/>
                <w:szCs w:val="21"/>
                <w:lang w:val="en-US" w:eastAsia="zh-CN"/>
              </w:rPr>
              <w:t>西北总部</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hint="eastAsia" w:ascii="宋体" w:hAnsi="宋体" w:cs="宋体"/>
                <w:kern w:val="1"/>
                <w:szCs w:val="21"/>
              </w:rPr>
              <w:t>31</w:t>
            </w:r>
          </w:p>
        </w:tc>
        <w:tc>
          <w:tcPr>
            <w:tcW w:w="1915"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评分标准</w:t>
            </w:r>
          </w:p>
        </w:tc>
        <w:tc>
          <w:tcPr>
            <w:tcW w:w="6520"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根据质量与价格和履约能力等的比较</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3</w:t>
            </w:r>
            <w:r>
              <w:rPr>
                <w:rFonts w:hint="eastAsia" w:ascii="宋体" w:hAnsi="宋体" w:cs="宋体"/>
                <w:szCs w:val="21"/>
              </w:rPr>
              <w:t>2</w:t>
            </w:r>
          </w:p>
        </w:tc>
        <w:tc>
          <w:tcPr>
            <w:tcW w:w="1915"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评标方法</w:t>
            </w:r>
          </w:p>
        </w:tc>
        <w:tc>
          <w:tcPr>
            <w:tcW w:w="6520"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hint="eastAsia" w:ascii="宋体" w:hAnsi="宋体" w:cs="宋体"/>
                <w:szCs w:val="21"/>
              </w:rPr>
              <w:t>竞争性谈判，</w:t>
            </w:r>
            <w:r>
              <w:rPr>
                <w:rFonts w:ascii="宋体" w:hAnsi="宋体" w:cs="宋体"/>
                <w:szCs w:val="21"/>
              </w:rPr>
              <w:t>综合评分方法</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eastAsia="宋体" w:cs="宋体"/>
                <w:color w:val="000000"/>
                <w:kern w:val="1"/>
                <w:sz w:val="21"/>
                <w:szCs w:val="21"/>
                <w:lang w:val="en-US" w:eastAsia="zh-CN" w:bidi="ar-SA"/>
              </w:rPr>
            </w:pPr>
            <w:r>
              <w:rPr>
                <w:rFonts w:ascii="宋体" w:hAnsi="宋体" w:cs="宋体"/>
                <w:szCs w:val="21"/>
              </w:rPr>
              <w:t>3</w:t>
            </w:r>
            <w:r>
              <w:rPr>
                <w:rFonts w:hint="eastAsia" w:ascii="宋体" w:hAnsi="宋体" w:cs="宋体"/>
                <w:szCs w:val="21"/>
              </w:rPr>
              <w:t>3</w:t>
            </w:r>
          </w:p>
        </w:tc>
        <w:tc>
          <w:tcPr>
            <w:tcW w:w="191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是否退还投标文件</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否</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34</w:t>
            </w:r>
          </w:p>
        </w:tc>
        <w:tc>
          <w:tcPr>
            <w:tcW w:w="19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开标时间和地点</w:t>
            </w: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开标时间：</w:t>
            </w:r>
            <w:r>
              <w:rPr>
                <w:rFonts w:hint="eastAsia" w:ascii="宋体" w:hAnsi="宋体" w:cs="宋体"/>
                <w:szCs w:val="21"/>
              </w:rPr>
              <w:t>2021年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w:t>
            </w:r>
            <w:r>
              <w:rPr>
                <w:rFonts w:hint="eastAsia" w:ascii="宋体" w:hAnsi="宋体" w:cs="宋体"/>
                <w:szCs w:val="21"/>
                <w:lang w:val="en-US" w:eastAsia="zh-CN"/>
              </w:rPr>
              <w:t>上</w:t>
            </w:r>
            <w:r>
              <w:rPr>
                <w:rFonts w:hint="eastAsia" w:ascii="宋体" w:hAnsi="宋体" w:cs="宋体"/>
                <w:szCs w:val="21"/>
              </w:rPr>
              <w:t>午</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w:t>
            </w:r>
          </w:p>
        </w:tc>
      </w:tr>
      <w:tr>
        <w:tblPrEx>
          <w:tblCellMar>
            <w:top w:w="15" w:type="dxa"/>
            <w:left w:w="15" w:type="dxa"/>
            <w:bottom w:w="15" w:type="dxa"/>
            <w:right w:w="15" w:type="dxa"/>
          </w:tblCellMar>
        </w:tblPrEx>
        <w:trPr>
          <w:trHeight w:val="616"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1915"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52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ascii="宋体" w:hAnsi="宋体" w:cs="宋体"/>
                <w:szCs w:val="21"/>
              </w:rPr>
              <w:t xml:space="preserve">开标地点: </w:t>
            </w:r>
            <w:r>
              <w:rPr>
                <w:rFonts w:hint="eastAsia" w:ascii="宋体" w:hAnsi="宋体" w:cs="宋体"/>
                <w:color w:val="000000"/>
                <w:szCs w:val="21"/>
                <w:lang w:val="en-US" w:eastAsia="zh-CN"/>
              </w:rPr>
              <w:t>兰州市七里河区西津西路16号兰州中心41层</w:t>
            </w:r>
            <w:r>
              <w:rPr>
                <w:rFonts w:ascii="宋体" w:hAnsi="宋体" w:cs="宋体"/>
                <w:kern w:val="1"/>
                <w:szCs w:val="21"/>
              </w:rPr>
              <w:t>大禹节水集团股份有限公司</w:t>
            </w:r>
            <w:r>
              <w:rPr>
                <w:rFonts w:hint="eastAsia" w:ascii="宋体" w:hAnsi="宋体" w:cs="宋体"/>
                <w:kern w:val="1"/>
                <w:szCs w:val="21"/>
                <w:lang w:val="en-US" w:eastAsia="zh-CN"/>
              </w:rPr>
              <w:t>西北总部</w:t>
            </w:r>
          </w:p>
        </w:tc>
      </w:tr>
    </w:tbl>
    <w:p>
      <w:pPr>
        <w:rPr>
          <w:sz w:val="48"/>
          <w:szCs w:val="48"/>
        </w:rPr>
      </w:pPr>
      <w:r>
        <w:rPr>
          <w:sz w:val="48"/>
          <w:szCs w:val="48"/>
        </w:rPr>
        <w:br w:type="page"/>
      </w:r>
    </w:p>
    <w:p>
      <w:pPr>
        <w:pStyle w:val="4"/>
        <w:bidi w:val="0"/>
      </w:pPr>
      <w:bookmarkStart w:id="1" w:name="_Toc459219380"/>
      <w:bookmarkStart w:id="2" w:name="_Toc459843297"/>
      <w:bookmarkStart w:id="3" w:name="_Toc31852"/>
      <w:r>
        <w:t xml:space="preserve">第一部分  </w:t>
      </w:r>
      <w:r>
        <w:rPr>
          <w:rFonts w:hint="eastAsia"/>
        </w:rPr>
        <w:t>投标人须知</w:t>
      </w:r>
      <w:bookmarkEnd w:id="1"/>
      <w:bookmarkEnd w:id="2"/>
      <w:bookmarkEnd w:id="3"/>
    </w:p>
    <w:p>
      <w:pPr>
        <w:pStyle w:val="5"/>
        <w:bidi w:val="0"/>
      </w:pPr>
      <w:bookmarkStart w:id="4" w:name="_Toc459219381"/>
      <w:bookmarkStart w:id="5" w:name="_Toc459843298"/>
      <w:bookmarkStart w:id="6" w:name="_Toc1966"/>
      <w:r>
        <w:rPr>
          <w:rFonts w:hint="eastAsia"/>
        </w:rPr>
        <w:t>一、投标人</w:t>
      </w:r>
      <w:bookmarkEnd w:id="4"/>
      <w:bookmarkEnd w:id="5"/>
      <w:bookmarkEnd w:id="6"/>
    </w:p>
    <w:p>
      <w:pPr>
        <w:pStyle w:val="6"/>
        <w:numPr>
          <w:ilvl w:val="0"/>
          <w:numId w:val="4"/>
        </w:numPr>
        <w:bidi w:val="0"/>
      </w:pPr>
      <w:r>
        <w:rPr>
          <w:rFonts w:hint="eastAsia"/>
        </w:rPr>
        <w:t>合格投标人的一般条件：</w:t>
      </w:r>
    </w:p>
    <w:p>
      <w:pPr>
        <w:pStyle w:val="75"/>
        <w:spacing w:line="440" w:lineRule="atLeast"/>
        <w:ind w:firstLine="480"/>
        <w:rPr>
          <w:rFonts w:ascii="宋体" w:hAnsi="宋体" w:cs="宋体"/>
          <w:kern w:val="1"/>
          <w:sz w:val="24"/>
        </w:rPr>
      </w:pPr>
      <w:r>
        <w:rPr>
          <w:rFonts w:hint="eastAsia" w:ascii="宋体" w:hAnsi="宋体" w:cs="宋体"/>
          <w:kern w:val="1"/>
          <w:sz w:val="24"/>
        </w:rPr>
        <w:t>1.1资质要求：投标人具有国内独立法人资格，注册资金</w:t>
      </w:r>
      <w:r>
        <w:rPr>
          <w:rFonts w:hint="eastAsia" w:ascii="宋体" w:hAnsi="宋体" w:cs="宋体"/>
          <w:kern w:val="1"/>
          <w:sz w:val="24"/>
          <w:lang w:val="en-US" w:eastAsia="zh-CN"/>
        </w:rPr>
        <w:t>1000</w:t>
      </w:r>
      <w:r>
        <w:rPr>
          <w:rFonts w:hint="eastAsia" w:ascii="宋体" w:hAnsi="宋体" w:cs="宋体"/>
          <w:kern w:val="1"/>
          <w:sz w:val="24"/>
        </w:rPr>
        <w:t>万元以上，主营生产、销售</w:t>
      </w:r>
      <w:r>
        <w:rPr>
          <w:rFonts w:hint="eastAsia" w:ascii="宋体" w:hAnsi="宋体" w:cs="宋体"/>
          <w:kern w:val="1"/>
          <w:sz w:val="24"/>
          <w:lang w:val="en-US" w:eastAsia="zh-CN"/>
        </w:rPr>
        <w:t>本次招标材料</w:t>
      </w:r>
      <w:r>
        <w:rPr>
          <w:rFonts w:hint="eastAsia" w:ascii="宋体" w:hAnsi="宋体" w:cs="宋体"/>
          <w:kern w:val="1"/>
          <w:sz w:val="24"/>
        </w:rPr>
        <w:t>，具有较强的经济实力和良好的企业信誉及服务能力。</w:t>
      </w:r>
    </w:p>
    <w:p>
      <w:pPr>
        <w:pStyle w:val="75"/>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5"/>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5"/>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5"/>
        <w:spacing w:line="440" w:lineRule="atLeast"/>
        <w:ind w:firstLine="480"/>
        <w:rPr>
          <w:rFonts w:ascii="宋体" w:hAnsi="宋体" w:cs="宋体"/>
          <w:kern w:val="1"/>
          <w:sz w:val="24"/>
        </w:rPr>
      </w:pPr>
      <w:r>
        <w:rPr>
          <w:rFonts w:hint="eastAsia" w:ascii="宋体" w:hAnsi="宋体" w:cs="宋体"/>
          <w:kern w:val="1"/>
          <w:sz w:val="24"/>
        </w:rPr>
        <w:t>1.5近三年内</w:t>
      </w:r>
      <w:r>
        <w:rPr>
          <w:rFonts w:hint="eastAsia" w:ascii="宋体" w:hAnsi="宋体" w:cs="宋体"/>
          <w:kern w:val="1"/>
          <w:sz w:val="24"/>
          <w:lang w:val="en-US" w:eastAsia="zh-CN"/>
        </w:rPr>
        <w:t>在</w:t>
      </w:r>
      <w:r>
        <w:rPr>
          <w:rFonts w:hint="eastAsia" w:ascii="宋体" w:hAnsi="宋体" w:cs="宋体"/>
          <w:kern w:val="1"/>
          <w:sz w:val="24"/>
        </w:rPr>
        <w:t>参加采购活动</w:t>
      </w:r>
      <w:r>
        <w:rPr>
          <w:rFonts w:hint="eastAsia" w:ascii="宋体" w:hAnsi="宋体" w:cs="宋体"/>
          <w:kern w:val="1"/>
          <w:sz w:val="24"/>
          <w:lang w:val="en-US" w:eastAsia="zh-CN"/>
        </w:rPr>
        <w:t>及</w:t>
      </w:r>
      <w:r>
        <w:rPr>
          <w:rFonts w:hint="eastAsia" w:ascii="宋体" w:hAnsi="宋体" w:cs="宋体"/>
          <w:kern w:val="1"/>
          <w:sz w:val="24"/>
        </w:rPr>
        <w:t>经营活动中</w:t>
      </w:r>
      <w:r>
        <w:rPr>
          <w:rFonts w:hint="eastAsia" w:ascii="宋体" w:hAnsi="宋体" w:cs="宋体"/>
          <w:kern w:val="1"/>
          <w:sz w:val="24"/>
          <w:lang w:val="en-US" w:eastAsia="zh-CN"/>
        </w:rPr>
        <w:t>无</w:t>
      </w:r>
      <w:r>
        <w:rPr>
          <w:rFonts w:hint="eastAsia" w:ascii="宋体" w:hAnsi="宋体" w:cs="宋体"/>
          <w:kern w:val="1"/>
          <w:sz w:val="24"/>
        </w:rPr>
        <w:t>重大违法记录；</w:t>
      </w:r>
    </w:p>
    <w:p>
      <w:pPr>
        <w:pStyle w:val="75"/>
        <w:spacing w:line="440" w:lineRule="atLeast"/>
        <w:ind w:firstLine="480"/>
        <w:rPr>
          <w:rFonts w:ascii="宋体" w:hAnsi="宋体" w:cs="宋体"/>
          <w:kern w:val="1"/>
          <w:sz w:val="24"/>
        </w:rPr>
      </w:pPr>
      <w:r>
        <w:rPr>
          <w:rFonts w:hint="eastAsia" w:ascii="宋体" w:hAnsi="宋体" w:cs="宋体"/>
          <w:kern w:val="1"/>
          <w:sz w:val="24"/>
        </w:rPr>
        <w:t>1.6完全满足招标文件的实质性要求；</w:t>
      </w:r>
    </w:p>
    <w:p>
      <w:pPr>
        <w:pStyle w:val="75"/>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6"/>
        <w:numPr>
          <w:ilvl w:val="0"/>
          <w:numId w:val="4"/>
        </w:numPr>
        <w:bidi w:val="0"/>
      </w:pPr>
      <w:r>
        <w:rPr>
          <w:rFonts w:hint="eastAsia"/>
        </w:rPr>
        <w:t>投标方代表</w:t>
      </w:r>
    </w:p>
    <w:p>
      <w:pPr>
        <w:pStyle w:val="75"/>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指全权代表投标方参加投标活动并签署投标文件的人，如果投标方代表不是法人代表，须持有《法人代表授权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6"/>
        <w:numPr>
          <w:ilvl w:val="0"/>
          <w:numId w:val="4"/>
        </w:numPr>
        <w:bidi w:val="0"/>
      </w:pPr>
      <w:r>
        <w:t>费用承担：</w:t>
      </w:r>
    </w:p>
    <w:p>
      <w:pPr>
        <w:pStyle w:val="75"/>
        <w:numPr>
          <w:ilvl w:val="0"/>
          <w:numId w:val="0"/>
        </w:numPr>
        <w:spacing w:line="440" w:lineRule="atLeast"/>
        <w:ind w:leftChars="0" w:firstLine="480" w:firstLineChars="200"/>
        <w:rPr>
          <w:rFonts w:ascii="宋体" w:hAnsi="宋体" w:cs="宋体"/>
          <w:b/>
          <w:kern w:val="1"/>
          <w:sz w:val="24"/>
        </w:rPr>
      </w:pPr>
      <w:r>
        <w:rPr>
          <w:rFonts w:ascii="宋体" w:hAnsi="宋体" w:cs="宋体"/>
          <w:kern w:val="1"/>
          <w:sz w:val="24"/>
        </w:rPr>
        <w:t>投标人为准备和进行投标所发生的费用一概自理。</w:t>
      </w:r>
    </w:p>
    <w:p>
      <w:pPr>
        <w:pStyle w:val="6"/>
        <w:numPr>
          <w:ilvl w:val="0"/>
          <w:numId w:val="4"/>
        </w:numPr>
        <w:bidi w:val="0"/>
      </w:pPr>
      <w:r>
        <w:rPr>
          <w:rFonts w:hint="eastAsia"/>
        </w:rPr>
        <w:t>单位公章：</w:t>
      </w:r>
    </w:p>
    <w:p>
      <w:pPr>
        <w:pStyle w:val="75"/>
        <w:numPr>
          <w:ilvl w:val="0"/>
          <w:numId w:val="0"/>
        </w:numPr>
        <w:spacing w:line="440" w:lineRule="atLeast"/>
        <w:ind w:leftChars="0" w:firstLine="482" w:firstLineChars="200"/>
        <w:rPr>
          <w:rFonts w:ascii="宋体" w:hAnsi="宋体" w:cs="宋体"/>
          <w:b/>
          <w:kern w:val="1"/>
          <w:sz w:val="24"/>
        </w:rPr>
      </w:pPr>
      <w:r>
        <w:rPr>
          <w:rFonts w:hint="eastAsia" w:ascii="宋体" w:hAnsi="宋体" w:cs="宋体"/>
          <w:b/>
          <w:kern w:val="1"/>
          <w:sz w:val="24"/>
          <w:lang w:val="en-US" w:eastAsia="zh-CN"/>
        </w:rPr>
        <w:t>需</w:t>
      </w:r>
      <w:r>
        <w:rPr>
          <w:rFonts w:hint="eastAsia" w:ascii="宋体" w:hAnsi="宋体" w:eastAsia="宋体" w:cs="宋体"/>
          <w:kern w:val="1"/>
          <w:sz w:val="24"/>
        </w:rPr>
        <w:t>投标人携带单位公章</w:t>
      </w:r>
      <w:r>
        <w:rPr>
          <w:rFonts w:hint="eastAsia" w:ascii="宋体" w:hAnsi="宋体" w:cs="宋体"/>
          <w:kern w:val="1"/>
          <w:sz w:val="24"/>
          <w:lang w:val="en-US" w:eastAsia="zh-CN"/>
        </w:rPr>
        <w:t>到</w:t>
      </w:r>
      <w:r>
        <w:rPr>
          <w:rFonts w:hint="eastAsia" w:ascii="宋体" w:hAnsi="宋体" w:eastAsia="宋体" w:cs="宋体"/>
          <w:kern w:val="1"/>
          <w:sz w:val="24"/>
        </w:rPr>
        <w:t>投标现场</w:t>
      </w:r>
      <w:r>
        <w:rPr>
          <w:rFonts w:hint="eastAsia" w:ascii="宋体" w:hAnsi="宋体" w:eastAsia="宋体" w:cs="宋体"/>
          <w:kern w:val="1"/>
          <w:sz w:val="24"/>
          <w:lang w:eastAsia="zh-CN"/>
        </w:rPr>
        <w:t>。</w:t>
      </w:r>
    </w:p>
    <w:p>
      <w:pPr>
        <w:pStyle w:val="5"/>
        <w:bidi w:val="0"/>
      </w:pPr>
      <w:bookmarkStart w:id="7" w:name="_Toc18727"/>
      <w:bookmarkStart w:id="8" w:name="_Toc459843299"/>
      <w:bookmarkStart w:id="9" w:name="_Toc459219382"/>
      <w:r>
        <w:rPr>
          <w:rFonts w:hint="eastAsia"/>
        </w:rPr>
        <w:t>二、招标文件说明</w:t>
      </w:r>
      <w:bookmarkEnd w:id="7"/>
      <w:bookmarkEnd w:id="8"/>
      <w:bookmarkEnd w:id="9"/>
    </w:p>
    <w:p>
      <w:pPr>
        <w:pStyle w:val="6"/>
        <w:numPr>
          <w:ilvl w:val="0"/>
          <w:numId w:val="4"/>
        </w:numPr>
        <w:bidi w:val="0"/>
      </w:pPr>
      <w:r>
        <w:rPr>
          <w:rFonts w:hint="eastAsia"/>
        </w:rPr>
        <w:t>招标文件</w:t>
      </w:r>
    </w:p>
    <w:p>
      <w:pPr>
        <w:spacing w:line="440" w:lineRule="atLeast"/>
        <w:ind w:firstLine="480" w:firstLineChars="200"/>
        <w:rPr>
          <w:rFonts w:ascii="宋体" w:hAnsi="宋体" w:cs="宋体"/>
          <w:kern w:val="1"/>
          <w:sz w:val="24"/>
        </w:rPr>
      </w:pPr>
      <w:r>
        <w:rPr>
          <w:rFonts w:ascii="宋体" w:hAnsi="宋体" w:cs="宋体"/>
          <w:kern w:val="1"/>
          <w:sz w:val="24"/>
        </w:rPr>
        <w:t>招标文件</w:t>
      </w:r>
      <w:r>
        <w:rPr>
          <w:rFonts w:hint="eastAsia" w:ascii="宋体" w:hAnsi="宋体" w:cs="宋体"/>
          <w:kern w:val="1"/>
          <w:sz w:val="24"/>
        </w:rPr>
        <w:t>说明招标文件由招标文件总目录所列内容组成。投标人应详细阅读招标文件的全部内容。不按招标文件的要求提供投标文件和资料，可能导致投标被拒绝。</w:t>
      </w:r>
    </w:p>
    <w:p>
      <w:pPr>
        <w:pStyle w:val="6"/>
        <w:numPr>
          <w:ilvl w:val="0"/>
          <w:numId w:val="4"/>
        </w:numPr>
        <w:bidi w:val="0"/>
      </w:pPr>
      <w:r>
        <w:rPr>
          <w:rFonts w:hint="eastAsia"/>
        </w:rPr>
        <w:t>招标文件的澄清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若有疑问应以书面形式（包括手写、打印、印刷、传真，下同）通知招标人。招标人只对在投标截止时间的2天前收到的要求答疑的问题予以答复。不得采取不正当手段向招标人私下探寻标底等相关情况。</w:t>
      </w:r>
    </w:p>
    <w:p>
      <w:pPr>
        <w:pStyle w:val="6"/>
        <w:numPr>
          <w:ilvl w:val="0"/>
          <w:numId w:val="4"/>
        </w:numPr>
        <w:bidi w:val="0"/>
      </w:pPr>
      <w:r>
        <w:rPr>
          <w:rFonts w:hint="eastAsia"/>
        </w:rPr>
        <w:t>招标文件的修改</w:t>
      </w:r>
    </w:p>
    <w:p>
      <w:pPr>
        <w:spacing w:line="440" w:lineRule="atLeast"/>
        <w:ind w:firstLine="480" w:firstLineChars="200"/>
        <w:rPr>
          <w:rFonts w:ascii="宋体" w:hAnsi="宋体" w:cs="宋体"/>
          <w:kern w:val="1"/>
          <w:sz w:val="24"/>
        </w:rPr>
      </w:pPr>
      <w:r>
        <w:rPr>
          <w:rFonts w:ascii="宋体" w:hAnsi="宋体" w:cs="宋体"/>
          <w:kern w:val="1"/>
          <w:sz w:val="24"/>
        </w:rPr>
        <w:t>在投标截止时间前2天的任何时间，招标人可发书面补充通知修改招标文件内容</w:t>
      </w:r>
      <w:r>
        <w:rPr>
          <w:rFonts w:hint="eastAsia" w:ascii="宋体" w:hAnsi="宋体" w:cs="宋体"/>
          <w:kern w:val="1"/>
          <w:sz w:val="24"/>
        </w:rPr>
        <w:t>。</w:t>
      </w:r>
      <w:r>
        <w:rPr>
          <w:rFonts w:ascii="宋体" w:hAnsi="宋体" w:cs="宋体"/>
          <w:kern w:val="1"/>
          <w:sz w:val="24"/>
        </w:rPr>
        <w:t>上述补充通知将发给每一个投标人，并作为招标文件的组成部分。投标人在每次收到补充通知后应以书面形式通知招标人，确认已收到该补充通知，否则所引发的一切后果均由投标人自负。</w:t>
      </w:r>
    </w:p>
    <w:p>
      <w:pPr>
        <w:pStyle w:val="5"/>
        <w:bidi w:val="0"/>
        <w:rPr>
          <w:rFonts w:hint="eastAsia"/>
          <w:lang w:val="en-US"/>
        </w:rPr>
      </w:pPr>
      <w:bookmarkStart w:id="10" w:name="_Toc225246226"/>
      <w:bookmarkEnd w:id="10"/>
      <w:bookmarkStart w:id="11" w:name="_Toc225247631"/>
      <w:bookmarkEnd w:id="11"/>
      <w:bookmarkStart w:id="12" w:name="_Toc226087976"/>
      <w:bookmarkEnd w:id="12"/>
      <w:bookmarkStart w:id="13" w:name="_Toc246297330"/>
      <w:bookmarkEnd w:id="13"/>
      <w:bookmarkStart w:id="14" w:name="_Toc25909"/>
      <w:bookmarkStart w:id="15" w:name="_Toc459219383"/>
      <w:bookmarkStart w:id="16" w:name="_Toc459843300"/>
      <w:r>
        <w:rPr>
          <w:rFonts w:hint="eastAsia"/>
          <w:lang w:val="en-US" w:eastAsia="zh-CN"/>
        </w:rPr>
        <w:t>三、招</w:t>
      </w:r>
      <w:r>
        <w:rPr>
          <w:rFonts w:hint="eastAsia"/>
          <w:lang w:val="en-US"/>
        </w:rPr>
        <w:t>标内容</w:t>
      </w:r>
      <w:bookmarkEnd w:id="14"/>
    </w:p>
    <w:p>
      <w:pPr>
        <w:pStyle w:val="3"/>
        <w:jc w:val="center"/>
        <w:rPr>
          <w:rFonts w:hint="eastAsia"/>
          <w:lang w:val="en-US" w:eastAsia="zh-CN"/>
        </w:rPr>
      </w:pPr>
      <w:r>
        <w:rPr>
          <w:rFonts w:hint="eastAsia"/>
          <w:lang w:val="en-US" w:eastAsia="zh-CN"/>
        </w:rPr>
        <w:t>第一标段材料明细表</w:t>
      </w:r>
    </w:p>
    <w:tbl>
      <w:tblPr>
        <w:tblStyle w:val="47"/>
        <w:tblW w:w="8426" w:type="dxa"/>
        <w:jc w:val="center"/>
        <w:shd w:val="clear" w:color="auto" w:fill="auto"/>
        <w:tblLayout w:type="fixed"/>
        <w:tblCellMar>
          <w:top w:w="0" w:type="dxa"/>
          <w:left w:w="108" w:type="dxa"/>
          <w:bottom w:w="0" w:type="dxa"/>
          <w:right w:w="108" w:type="dxa"/>
        </w:tblCellMar>
      </w:tblPr>
      <w:tblGrid>
        <w:gridCol w:w="795"/>
        <w:gridCol w:w="2959"/>
        <w:gridCol w:w="2322"/>
        <w:gridCol w:w="796"/>
        <w:gridCol w:w="1554"/>
      </w:tblGrid>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序号</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规格型号</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规格型号</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单位</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数量</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PCP预应力钢筋混凝土管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φ1000*0.6MPa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3791</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PCP预应力钢筋混凝土管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φ600*0.6MPa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4093</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3</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PCP预应力钢筋混凝土管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φ600*1.0MPa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714</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PCP预应力钢筋混凝土管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φ800*0.6MPa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7650</w:t>
            </w:r>
          </w:p>
        </w:tc>
      </w:tr>
    </w:tbl>
    <w:p>
      <w:pPr>
        <w:pStyle w:val="3"/>
        <w:jc w:val="center"/>
        <w:rPr>
          <w:rFonts w:hint="eastAsia"/>
          <w:lang w:val="en-US" w:eastAsia="zh-CN"/>
        </w:rPr>
      </w:pPr>
      <w:r>
        <w:rPr>
          <w:rFonts w:hint="eastAsia"/>
          <w:lang w:val="en-US" w:eastAsia="zh-CN"/>
        </w:rPr>
        <w:t>第二标段材料明细表</w:t>
      </w:r>
    </w:p>
    <w:tbl>
      <w:tblPr>
        <w:tblStyle w:val="47"/>
        <w:tblW w:w="8426" w:type="dxa"/>
        <w:jc w:val="center"/>
        <w:shd w:val="clear" w:color="auto" w:fill="auto"/>
        <w:tblLayout w:type="fixed"/>
        <w:tblCellMar>
          <w:top w:w="0" w:type="dxa"/>
          <w:left w:w="108" w:type="dxa"/>
          <w:bottom w:w="0" w:type="dxa"/>
          <w:right w:w="108" w:type="dxa"/>
        </w:tblCellMar>
      </w:tblPr>
      <w:tblGrid>
        <w:gridCol w:w="795"/>
        <w:gridCol w:w="2959"/>
        <w:gridCol w:w="2322"/>
        <w:gridCol w:w="796"/>
        <w:gridCol w:w="1554"/>
      </w:tblGrid>
      <w:tr>
        <w:tblPrEx>
          <w:shd w:val="clear" w:color="auto" w:fill="auto"/>
          <w:tblCellMar>
            <w:top w:w="0" w:type="dxa"/>
            <w:left w:w="108" w:type="dxa"/>
            <w:bottom w:w="0" w:type="dxa"/>
            <w:right w:w="108" w:type="dxa"/>
          </w:tblCellMar>
        </w:tblPrEx>
        <w:trPr>
          <w:trHeight w:val="285"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Dn500*1.0MPa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4740 </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Dn450*1.0MPa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510 </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3</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Dn400*1.0MPa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34760 </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Dn400*1.25MPa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408 </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5</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Dn355*1.0MPa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5100 </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6</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钢丝网骨架复合PE管</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Dn315*1.0MPa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米</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5760 </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7</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S500*1.0MPa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4"/>
                <w:szCs w:val="24"/>
                <w:u w:val="none"/>
                <w:lang w:val="en-US" w:eastAsia="zh-CN" w:bidi="ar"/>
              </w:rPr>
              <w:t>395</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8"/>
                <w:szCs w:val="28"/>
                <w:u w:val="none"/>
                <w:lang w:val="en-US" w:eastAsia="zh-CN" w:bidi="ar"/>
              </w:rPr>
              <w:t>8</w:t>
            </w:r>
          </w:p>
        </w:tc>
        <w:tc>
          <w:tcPr>
            <w:tcW w:w="2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S450*1.0MPa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42</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9</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S400*1.0MPa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2896</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10</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S400*1.25MPa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34</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11</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S355*1.0MPa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cs="宋体"/>
                <w:i w:val="0"/>
                <w:iCs w:val="0"/>
                <w:color w:val="000000"/>
                <w:kern w:val="0"/>
                <w:sz w:val="24"/>
                <w:szCs w:val="24"/>
                <w:u w:val="none"/>
                <w:lang w:val="en-US" w:eastAsia="zh-CN" w:bidi="ar"/>
              </w:rPr>
              <w:t>425</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12</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电熔直接</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S315*1.0MPa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4"/>
                <w:szCs w:val="24"/>
                <w:u w:val="none"/>
                <w:shd w:val="clear" w:color="auto" w:fill="auto"/>
                <w:lang w:val="en-US" w:eastAsia="zh-CN" w:bidi="ar"/>
              </w:rPr>
            </w:pPr>
            <w:r>
              <w:rPr>
                <w:rFonts w:hint="eastAsia" w:ascii="宋体" w:hAnsi="宋体" w:cs="宋体"/>
                <w:i w:val="0"/>
                <w:iCs w:val="0"/>
                <w:color w:val="000000"/>
                <w:kern w:val="0"/>
                <w:sz w:val="24"/>
                <w:szCs w:val="24"/>
                <w:u w:val="none"/>
                <w:lang w:val="en-US" w:eastAsia="zh-CN" w:bidi="ar"/>
              </w:rPr>
              <w:t>480</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13</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电熔90°弯头</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L500*1.0MPa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电熔90°弯头</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L400*1.0MPa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40</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15</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电熔90°弯头</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L355*1.0MPa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8"/>
                <w:szCs w:val="28"/>
                <w:u w:val="none"/>
                <w:lang w:val="en-US" w:eastAsia="zh-CN" w:bidi="ar"/>
              </w:rPr>
              <w:t>16</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电熔90°弯头</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L315*1.0MPa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17</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电熔法兰头+钢片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F500*1.0MPa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18</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电熔法兰头+钢片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F400*1.0MPa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19</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电熔法兰头+钢片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F355*1.0MPa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电熔法兰头+钢片</w:t>
            </w:r>
          </w:p>
        </w:tc>
        <w:tc>
          <w:tcPr>
            <w:tcW w:w="2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lang w:val="en-US" w:eastAsia="zh-CN" w:bidi="ar"/>
              </w:rPr>
              <w:t>F315*1.0MPa</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shd w:val="clear" w:color="auto" w:fill="auto"/>
                <w:lang w:val="en-US" w:eastAsia="zh-CN" w:bidi="ar"/>
              </w:rPr>
            </w:pPr>
            <w:r>
              <w:rPr>
                <w:rFonts w:hint="eastAsia" w:ascii="宋体" w:hAnsi="宋体" w:eastAsia="宋体" w:cs="宋体"/>
                <w:i w:val="0"/>
                <w:iCs w:val="0"/>
                <w:color w:val="000000"/>
                <w:kern w:val="0"/>
                <w:sz w:val="24"/>
                <w:szCs w:val="24"/>
                <w:u w:val="none"/>
                <w:shd w:val="clear" w:color="auto" w:fill="auto"/>
                <w:lang w:val="en-US" w:eastAsia="zh-CN" w:bidi="ar"/>
              </w:rPr>
              <w:t>个</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3" w:hRule="atLeast"/>
          <w:jc w:val="center"/>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备注</w:t>
            </w:r>
          </w:p>
        </w:tc>
        <w:tc>
          <w:tcPr>
            <w:tcW w:w="763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管材数量为预估量，最终以实际需求数量为准，</w:t>
            </w:r>
            <w:r>
              <w:rPr>
                <w:rFonts w:hint="eastAsia" w:ascii="宋体" w:hAnsi="宋体" w:eastAsia="宋体" w:cs="宋体"/>
                <w:i w:val="0"/>
                <w:iCs w:val="0"/>
                <w:color w:val="000000"/>
                <w:kern w:val="0"/>
                <w:sz w:val="24"/>
                <w:szCs w:val="24"/>
                <w:u w:val="none"/>
                <w:lang w:val="en-US" w:eastAsia="zh-CN" w:bidi="ar"/>
              </w:rPr>
              <w:t>管件数量</w:t>
            </w:r>
            <w:r>
              <w:rPr>
                <w:rFonts w:hint="eastAsia" w:ascii="宋体" w:hAnsi="宋体" w:cs="宋体"/>
                <w:i w:val="0"/>
                <w:iCs w:val="0"/>
                <w:color w:val="000000"/>
                <w:kern w:val="0"/>
                <w:sz w:val="24"/>
                <w:szCs w:val="24"/>
                <w:u w:val="none"/>
                <w:lang w:val="en-US" w:eastAsia="zh-CN" w:bidi="ar"/>
              </w:rPr>
              <w:t>是以</w:t>
            </w:r>
            <w:r>
              <w:rPr>
                <w:rFonts w:hint="eastAsia" w:ascii="宋体" w:hAnsi="宋体" w:eastAsia="宋体" w:cs="宋体"/>
                <w:i w:val="0"/>
                <w:iCs w:val="0"/>
                <w:color w:val="000000"/>
                <w:kern w:val="0"/>
                <w:sz w:val="24"/>
                <w:szCs w:val="24"/>
                <w:u w:val="none"/>
                <w:lang w:val="en-US" w:eastAsia="zh-CN" w:bidi="ar"/>
              </w:rPr>
              <w:t>管材数量预估</w:t>
            </w:r>
            <w:r>
              <w:rPr>
                <w:rFonts w:hint="eastAsia" w:ascii="宋体" w:hAnsi="宋体" w:cs="宋体"/>
                <w:i w:val="0"/>
                <w:iCs w:val="0"/>
                <w:color w:val="000000"/>
                <w:kern w:val="0"/>
                <w:sz w:val="24"/>
                <w:szCs w:val="24"/>
                <w:u w:val="none"/>
                <w:lang w:val="en-US" w:eastAsia="zh-CN" w:bidi="ar"/>
              </w:rPr>
              <w:t>，最终以实际需求数量为准。</w:t>
            </w:r>
          </w:p>
        </w:tc>
      </w:tr>
    </w:tbl>
    <w:p>
      <w:pPr>
        <w:pStyle w:val="5"/>
        <w:bidi w:val="0"/>
      </w:pPr>
      <w:bookmarkStart w:id="17" w:name="_Toc4366"/>
      <w:r>
        <w:rPr>
          <w:rFonts w:hint="eastAsia"/>
          <w:lang w:val="en-US"/>
        </w:rPr>
        <w:t>四</w:t>
      </w:r>
      <w:r>
        <w:rPr>
          <w:rFonts w:hint="eastAsia"/>
        </w:rPr>
        <w:t>、投标文件说明</w:t>
      </w:r>
      <w:bookmarkEnd w:id="15"/>
      <w:bookmarkEnd w:id="16"/>
      <w:bookmarkEnd w:id="17"/>
    </w:p>
    <w:p>
      <w:pPr>
        <w:pStyle w:val="6"/>
        <w:bidi w:val="0"/>
      </w:pPr>
      <w:bookmarkStart w:id="18" w:name="_Toc225246231"/>
      <w:bookmarkEnd w:id="18"/>
      <w:bookmarkStart w:id="19" w:name="_Toc246297335"/>
      <w:bookmarkEnd w:id="19"/>
      <w:bookmarkStart w:id="20" w:name="_Toc225217139"/>
      <w:bookmarkEnd w:id="20"/>
      <w:bookmarkStart w:id="21" w:name="_Toc225247636"/>
      <w:bookmarkEnd w:id="21"/>
      <w:bookmarkStart w:id="22" w:name="_Toc226087981"/>
      <w:bookmarkEnd w:id="22"/>
      <w:bookmarkStart w:id="23" w:name="_Toc184635092"/>
      <w:bookmarkEnd w:id="23"/>
      <w:r>
        <w:rPr>
          <w:rFonts w:hint="eastAsia"/>
        </w:rPr>
        <w:t>8.</w:t>
      </w:r>
      <w:r>
        <w:t xml:space="preserve"> </w:t>
      </w:r>
      <w:r>
        <w:rPr>
          <w:rFonts w:hint="eastAsia"/>
        </w:rPr>
        <w:t>投标保证金</w:t>
      </w:r>
    </w:p>
    <w:p>
      <w:pPr>
        <w:pStyle w:val="75"/>
        <w:spacing w:line="440" w:lineRule="atLeast"/>
        <w:ind w:firstLine="480"/>
        <w:rPr>
          <w:rFonts w:ascii="宋体" w:hAnsi="宋体" w:cs="宋体"/>
          <w:kern w:val="1"/>
          <w:sz w:val="24"/>
        </w:rPr>
      </w:pPr>
      <w:r>
        <w:rPr>
          <w:rFonts w:hint="eastAsia" w:ascii="宋体" w:hAnsi="宋体" w:cs="宋体"/>
          <w:kern w:val="1"/>
          <w:sz w:val="24"/>
        </w:rPr>
        <w:t>无</w:t>
      </w:r>
    </w:p>
    <w:p>
      <w:pPr>
        <w:pStyle w:val="6"/>
        <w:bidi w:val="0"/>
      </w:pPr>
      <w:r>
        <w:rPr>
          <w:rFonts w:hint="eastAsia"/>
        </w:rPr>
        <w:t>9. 提示与要求</w:t>
      </w:r>
    </w:p>
    <w:p>
      <w:pPr>
        <w:pStyle w:val="75"/>
        <w:spacing w:line="440" w:lineRule="atLeast"/>
        <w:ind w:firstLine="480"/>
        <w:rPr>
          <w:rFonts w:ascii="宋体" w:hAnsi="宋体" w:cs="宋体"/>
          <w:kern w:val="1"/>
          <w:sz w:val="24"/>
          <w:highlight w:val="none"/>
        </w:rPr>
      </w:pPr>
      <w:r>
        <w:rPr>
          <w:rFonts w:hint="eastAsia" w:ascii="宋体" w:hAnsi="宋体" w:cs="宋体"/>
          <w:kern w:val="1"/>
          <w:sz w:val="24"/>
          <w:highlight w:val="none"/>
        </w:rPr>
        <w:t>9.1</w:t>
      </w:r>
      <w:r>
        <w:rPr>
          <w:rFonts w:ascii="宋体" w:hAnsi="宋体" w:cs="宋体"/>
          <w:kern w:val="1"/>
          <w:sz w:val="24"/>
          <w:highlight w:val="none"/>
        </w:rPr>
        <w:t>投标方应仔细阅读招标文件的所有内容，按招标文件的要求提供投标文件</w:t>
      </w:r>
      <w:r>
        <w:rPr>
          <w:rFonts w:hint="eastAsia" w:ascii="宋体" w:hAnsi="宋体" w:cs="宋体"/>
          <w:kern w:val="1"/>
          <w:sz w:val="24"/>
          <w:highlight w:val="none"/>
        </w:rPr>
        <w:t>及材料</w:t>
      </w:r>
      <w:r>
        <w:rPr>
          <w:rFonts w:hint="eastAsia" w:ascii="宋体" w:hAnsi="宋体" w:cs="宋体"/>
          <w:kern w:val="1"/>
          <w:sz w:val="24"/>
          <w:highlight w:val="none"/>
          <w:lang w:val="en-US" w:eastAsia="zh-CN"/>
        </w:rPr>
        <w:t>报价</w:t>
      </w:r>
      <w:r>
        <w:rPr>
          <w:rFonts w:hint="eastAsia" w:ascii="宋体" w:hAnsi="宋体" w:cs="宋体"/>
          <w:kern w:val="1"/>
          <w:sz w:val="24"/>
          <w:highlight w:val="none"/>
        </w:rPr>
        <w:t>清单</w:t>
      </w:r>
      <w:r>
        <w:rPr>
          <w:rFonts w:ascii="宋体" w:hAnsi="宋体" w:cs="宋体"/>
          <w:kern w:val="1"/>
          <w:sz w:val="24"/>
          <w:highlight w:val="none"/>
        </w:rPr>
        <w:t>，并保证所提供的全部资料的真实</w:t>
      </w:r>
      <w:r>
        <w:rPr>
          <w:rFonts w:hint="eastAsia" w:ascii="宋体" w:hAnsi="宋体" w:cs="宋体"/>
          <w:kern w:val="1"/>
          <w:sz w:val="24"/>
          <w:highlight w:val="none"/>
          <w:lang w:val="en-US" w:eastAsia="zh-CN"/>
        </w:rPr>
        <w:t>有效</w:t>
      </w:r>
      <w:r>
        <w:rPr>
          <w:rFonts w:ascii="宋体" w:hAnsi="宋体" w:cs="宋体"/>
          <w:kern w:val="1"/>
          <w:sz w:val="24"/>
          <w:highlight w:val="none"/>
        </w:rPr>
        <w:t>性，以使其投标对招标文件</w:t>
      </w:r>
      <w:r>
        <w:rPr>
          <w:rFonts w:hint="eastAsia" w:ascii="宋体" w:hAnsi="宋体" w:cs="宋体"/>
          <w:kern w:val="1"/>
          <w:sz w:val="24"/>
          <w:highlight w:val="none"/>
        </w:rPr>
        <w:t>做</w:t>
      </w:r>
      <w:r>
        <w:rPr>
          <w:rFonts w:ascii="宋体" w:hAnsi="宋体" w:cs="宋体"/>
          <w:kern w:val="1"/>
          <w:sz w:val="24"/>
          <w:highlight w:val="none"/>
        </w:rPr>
        <w:t>出实质性响应，否则，其投标可能被拒绝</w:t>
      </w:r>
      <w:r>
        <w:rPr>
          <w:rFonts w:hint="eastAsia" w:ascii="宋体" w:hAnsi="宋体" w:cs="宋体"/>
          <w:kern w:val="1"/>
          <w:sz w:val="24"/>
          <w:highlight w:val="none"/>
        </w:rPr>
        <w:t>。</w:t>
      </w:r>
    </w:p>
    <w:p>
      <w:pPr>
        <w:pStyle w:val="75"/>
        <w:spacing w:line="440" w:lineRule="atLeast"/>
        <w:ind w:firstLine="480"/>
        <w:rPr>
          <w:rFonts w:ascii="宋体" w:hAnsi="宋体" w:cs="宋体"/>
          <w:kern w:val="1"/>
          <w:sz w:val="24"/>
        </w:rPr>
      </w:pPr>
      <w:r>
        <w:rPr>
          <w:rFonts w:hint="eastAsia" w:ascii="宋体" w:hAnsi="宋体" w:cs="宋体"/>
          <w:kern w:val="1"/>
          <w:sz w:val="24"/>
          <w:highlight w:val="none"/>
        </w:rPr>
        <w:t>9.2无论是否递交投标文件，投标人都应将招标文件及以后的所有通知、文件等视为保密文件。</w:t>
      </w:r>
    </w:p>
    <w:p>
      <w:pPr>
        <w:pStyle w:val="6"/>
        <w:bidi w:val="0"/>
      </w:pPr>
      <w:r>
        <w:rPr>
          <w:rFonts w:hint="eastAsia"/>
        </w:rPr>
        <w:t>10.</w:t>
      </w:r>
      <w:r>
        <w:t>投标文件的组成</w:t>
      </w:r>
    </w:p>
    <w:p>
      <w:pPr>
        <w:spacing w:line="440" w:lineRule="atLeast"/>
        <w:ind w:firstLine="540" w:firstLineChars="225"/>
        <w:rPr>
          <w:rFonts w:ascii="宋体" w:hAnsi="宋体" w:cs="宋体"/>
          <w:kern w:val="1"/>
          <w:sz w:val="24"/>
        </w:rPr>
      </w:pPr>
      <w:r>
        <w:rPr>
          <w:rFonts w:ascii="宋体" w:hAnsi="宋体" w:cs="宋体"/>
          <w:kern w:val="1"/>
          <w:sz w:val="24"/>
        </w:rPr>
        <w:t>投标人应按照招标文件规定的内容和格式编制并提交投标文件，投标文件应包括：</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10.1.1投标函</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10.1.2</w:t>
      </w:r>
      <w:r>
        <w:rPr>
          <w:rFonts w:ascii="宋体" w:hAnsi="宋体" w:cs="宋体"/>
          <w:kern w:val="1"/>
          <w:sz w:val="24"/>
        </w:rPr>
        <w:t>法</w:t>
      </w:r>
      <w:r>
        <w:rPr>
          <w:rFonts w:hint="eastAsia" w:ascii="宋体" w:hAnsi="宋体" w:cs="宋体"/>
          <w:kern w:val="1"/>
          <w:sz w:val="24"/>
        </w:rPr>
        <w:t>定代表</w:t>
      </w:r>
      <w:r>
        <w:rPr>
          <w:rFonts w:ascii="宋体" w:hAnsi="宋体" w:cs="宋体"/>
          <w:kern w:val="1"/>
          <w:sz w:val="24"/>
        </w:rPr>
        <w:t>人授权委托书</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10.1.3</w:t>
      </w:r>
      <w:r>
        <w:rPr>
          <w:rFonts w:ascii="宋体" w:hAnsi="宋体" w:cs="宋体"/>
          <w:kern w:val="1"/>
          <w:sz w:val="24"/>
        </w:rPr>
        <w:t>法定代表人身份证明</w:t>
      </w:r>
    </w:p>
    <w:p>
      <w:pPr>
        <w:pStyle w:val="75"/>
        <w:spacing w:line="440" w:lineRule="atLeast"/>
        <w:ind w:left="357" w:leftChars="170" w:firstLine="120" w:firstLineChars="50"/>
        <w:rPr>
          <w:rFonts w:hint="eastAsia" w:ascii="宋体" w:hAnsi="宋体" w:eastAsia="宋体" w:cs="宋体"/>
          <w:kern w:val="1"/>
          <w:sz w:val="24"/>
          <w:lang w:val="en-US" w:eastAsia="zh-CN"/>
        </w:rPr>
      </w:pPr>
      <w:r>
        <w:rPr>
          <w:rFonts w:hint="eastAsia" w:ascii="宋体" w:hAnsi="宋体" w:cs="宋体"/>
          <w:kern w:val="1"/>
          <w:sz w:val="24"/>
        </w:rPr>
        <w:t>10.1.4</w:t>
      </w:r>
      <w:r>
        <w:rPr>
          <w:rFonts w:ascii="宋体" w:hAnsi="宋体" w:cs="宋体"/>
          <w:kern w:val="1"/>
          <w:sz w:val="24"/>
        </w:rPr>
        <w:t>投标报价</w:t>
      </w:r>
      <w:r>
        <w:rPr>
          <w:rFonts w:hint="eastAsia" w:ascii="宋体" w:hAnsi="宋体" w:cs="宋体"/>
          <w:kern w:val="1"/>
          <w:sz w:val="24"/>
          <w:lang w:val="en-US" w:eastAsia="zh-CN"/>
        </w:rPr>
        <w:t>单</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10.1.5投标单位概况表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10.1.6近三年完成的相似项目情况表</w:t>
      </w:r>
    </w:p>
    <w:p>
      <w:pPr>
        <w:pStyle w:val="75"/>
        <w:spacing w:line="440" w:lineRule="atLeast"/>
        <w:ind w:left="357" w:leftChars="170" w:firstLine="120" w:firstLineChars="50"/>
        <w:rPr>
          <w:rFonts w:hint="default" w:ascii="宋体" w:hAnsi="宋体" w:eastAsia="宋体" w:cs="宋体"/>
          <w:kern w:val="1"/>
          <w:sz w:val="24"/>
          <w:lang w:val="en-US" w:eastAsia="zh-CN"/>
        </w:rPr>
      </w:pPr>
      <w:r>
        <w:rPr>
          <w:rFonts w:hint="eastAsia" w:ascii="宋体" w:hAnsi="宋体" w:cs="宋体"/>
          <w:kern w:val="1"/>
          <w:sz w:val="24"/>
        </w:rPr>
        <w:t>10.1.7</w:t>
      </w:r>
      <w:r>
        <w:rPr>
          <w:rFonts w:hint="eastAsia" w:ascii="宋体" w:hAnsi="宋体" w:cs="宋体"/>
          <w:kern w:val="1"/>
          <w:sz w:val="24"/>
          <w:lang w:val="en-US" w:eastAsia="zh-CN"/>
        </w:rPr>
        <w:t>材料技术要求说明</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10.1.8近三年的财务报表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10.1.9投标货物近期的出厂检验报告、市级/省级/国家级检验报告</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10.1.10质量承诺书、售后服务承诺书</w:t>
      </w:r>
    </w:p>
    <w:p>
      <w:pPr>
        <w:pStyle w:val="8"/>
        <w:tabs>
          <w:tab w:val="left" w:pos="0"/>
        </w:tabs>
        <w:overflowPunct w:val="0"/>
        <w:spacing w:line="440" w:lineRule="atLeast"/>
        <w:ind w:firstLine="482" w:firstLineChars="200"/>
        <w:rPr>
          <w:rFonts w:ascii="宋体" w:hAnsi="宋体" w:cs="宋体"/>
          <w:b/>
          <w:szCs w:val="24"/>
        </w:rPr>
      </w:pPr>
      <w:r>
        <w:rPr>
          <w:rFonts w:hint="eastAsia" w:ascii="宋体" w:hAnsi="宋体" w:cs="宋体"/>
          <w:b/>
          <w:szCs w:val="24"/>
        </w:rPr>
        <w:t>注：投标人必须提交上述规定10.1.1-10.1.10的资料。否则，投标文件将因未实质响应招标文件而被拒绝；投标人所提交的资格文件的完整与否，将直接影响投标人的评分。</w:t>
      </w:r>
    </w:p>
    <w:p>
      <w:pPr>
        <w:pStyle w:val="6"/>
        <w:bidi w:val="0"/>
      </w:pPr>
      <w:r>
        <w:rPr>
          <w:rFonts w:hint="eastAsia"/>
        </w:rPr>
        <w:t>11.</w:t>
      </w:r>
      <w:r>
        <w:t xml:space="preserve"> </w:t>
      </w:r>
      <w:r>
        <w:rPr>
          <w:rFonts w:hint="eastAsia"/>
        </w:rPr>
        <w:t>投标报价（编制）要求的说明</w:t>
      </w:r>
    </w:p>
    <w:p>
      <w:pPr>
        <w:pStyle w:val="75"/>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1</w:t>
      </w:r>
      <w:r>
        <w:rPr>
          <w:rFonts w:ascii="宋体" w:hAnsi="宋体" w:cs="宋体"/>
          <w:kern w:val="1"/>
          <w:sz w:val="24"/>
        </w:rPr>
        <w:t>.1</w:t>
      </w:r>
      <w:r>
        <w:rPr>
          <w:rFonts w:hint="eastAsia" w:ascii="宋体" w:hAnsi="宋体" w:cs="宋体"/>
          <w:kern w:val="1"/>
          <w:sz w:val="24"/>
        </w:rPr>
        <w:t>除非合同中另有规定，投标人对《投标报价表</w:t>
      </w:r>
      <w:r>
        <w:rPr>
          <w:rFonts w:hint="eastAsia" w:ascii="宋体" w:hAnsi="宋体" w:cs="宋体"/>
          <w:kern w:val="1"/>
          <w:sz w:val="24"/>
          <w:lang w:eastAsia="zh-CN"/>
        </w:rPr>
        <w:t>》</w:t>
      </w:r>
      <w:r>
        <w:rPr>
          <w:rFonts w:hint="eastAsia" w:ascii="宋体" w:hAnsi="宋体" w:cs="宋体"/>
          <w:kern w:val="1"/>
          <w:sz w:val="24"/>
        </w:rPr>
        <w:t>中的全部</w:t>
      </w:r>
      <w:r>
        <w:rPr>
          <w:rFonts w:hint="eastAsia" w:ascii="宋体" w:hAnsi="宋体" w:cs="宋体"/>
          <w:kern w:val="1"/>
          <w:sz w:val="24"/>
          <w:lang w:val="en-US" w:eastAsia="zh-CN"/>
        </w:rPr>
        <w:t>材料</w:t>
      </w:r>
      <w:r>
        <w:rPr>
          <w:rFonts w:hint="eastAsia" w:ascii="宋体" w:hAnsi="宋体" w:cs="宋体"/>
          <w:kern w:val="1"/>
          <w:sz w:val="24"/>
        </w:rPr>
        <w:t>报价应包括所投主要设备材料、必需辅材及不可预见辅材费用、专用工具费用、税费及包装、运至最终目的地的运输费（包括装、卸车费）、保险、检测验收、技术支持与培训、售后服务与维保及相关劳务支出等工作所发生的全部费用以及投标人企业利润、税金和政策性文件规定及合同包含的所有风险、责任等各项应有费用。</w:t>
      </w:r>
    </w:p>
    <w:p>
      <w:pPr>
        <w:pStyle w:val="75"/>
        <w:spacing w:line="440" w:lineRule="atLeast"/>
        <w:ind w:left="357" w:firstLine="200" w:firstLineChars="0"/>
        <w:rPr>
          <w:rFonts w:ascii="宋体" w:hAnsi="宋体" w:cs="宋体"/>
          <w:kern w:val="1"/>
          <w:sz w:val="24"/>
        </w:rPr>
      </w:pPr>
      <w:r>
        <w:rPr>
          <w:rFonts w:ascii="宋体" w:hAnsi="宋体" w:cs="宋体"/>
          <w:kern w:val="1"/>
          <w:sz w:val="24"/>
        </w:rPr>
        <w:t>1</w:t>
      </w:r>
      <w:r>
        <w:rPr>
          <w:rFonts w:hint="eastAsia" w:ascii="宋体" w:hAnsi="宋体" w:cs="宋体"/>
          <w:kern w:val="1"/>
          <w:sz w:val="24"/>
        </w:rPr>
        <w:t>1.2</w:t>
      </w:r>
      <w:r>
        <w:rPr>
          <w:rFonts w:ascii="宋体" w:hAnsi="宋体" w:cs="宋体"/>
          <w:kern w:val="1"/>
          <w:sz w:val="24"/>
        </w:rPr>
        <w:t>招标人</w:t>
      </w:r>
      <w:r>
        <w:rPr>
          <w:rFonts w:ascii="宋体" w:hAnsi="宋体" w:cs="宋体"/>
          <w:b w:val="0"/>
          <w:bCs w:val="0"/>
          <w:kern w:val="1"/>
          <w:sz w:val="24"/>
        </w:rPr>
        <w:t>不接受选择性报价</w:t>
      </w:r>
      <w:r>
        <w:rPr>
          <w:rFonts w:ascii="宋体" w:hAnsi="宋体" w:cs="宋体"/>
          <w:kern w:val="1"/>
          <w:sz w:val="24"/>
        </w:rPr>
        <w:t>。</w:t>
      </w:r>
    </w:p>
    <w:p>
      <w:pPr>
        <w:pStyle w:val="6"/>
        <w:bidi w:val="0"/>
      </w:pPr>
      <w:r>
        <w:rPr>
          <w:rFonts w:hint="eastAsia"/>
        </w:rPr>
        <w:t>12.</w:t>
      </w:r>
      <w:r>
        <w:t>投标文件的份数和签署要求</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hint="eastAsia" w:ascii="宋体" w:hAnsi="宋体" w:cs="宋体"/>
          <w:kern w:val="1"/>
          <w:sz w:val="24"/>
        </w:rPr>
        <w:t>.1</w:t>
      </w:r>
      <w:r>
        <w:rPr>
          <w:rFonts w:ascii="宋体" w:hAnsi="宋体" w:cs="宋体"/>
          <w:kern w:val="1"/>
          <w:sz w:val="24"/>
        </w:rPr>
        <w:t>投标人应按规定内容、格式编制投标文件。投标</w:t>
      </w:r>
      <w:r>
        <w:rPr>
          <w:rFonts w:hint="eastAsia" w:ascii="宋体" w:hAnsi="宋体" w:cs="宋体"/>
          <w:kern w:val="1"/>
          <w:sz w:val="24"/>
          <w:lang w:val="en-US" w:eastAsia="zh-CN"/>
        </w:rPr>
        <w:t>纸质</w:t>
      </w:r>
      <w:r>
        <w:rPr>
          <w:rFonts w:ascii="宋体" w:hAnsi="宋体" w:cs="宋体"/>
          <w:kern w:val="1"/>
          <w:sz w:val="24"/>
        </w:rPr>
        <w:t>文件一式</w:t>
      </w:r>
      <w:r>
        <w:rPr>
          <w:rFonts w:hint="eastAsia" w:ascii="宋体" w:hAnsi="宋体" w:cs="宋体"/>
          <w:kern w:val="1"/>
          <w:sz w:val="24"/>
          <w:lang w:val="en-US" w:eastAsia="zh-CN"/>
        </w:rPr>
        <w:t>4</w:t>
      </w:r>
      <w:r>
        <w:rPr>
          <w:rFonts w:ascii="宋体" w:hAnsi="宋体" w:cs="宋体"/>
          <w:kern w:val="1"/>
          <w:sz w:val="24"/>
        </w:rPr>
        <w:t>份，其中1份</w:t>
      </w:r>
      <w:r>
        <w:rPr>
          <w:rFonts w:hint="eastAsia" w:ascii="宋体" w:hAnsi="宋体" w:cs="宋体"/>
          <w:kern w:val="1"/>
          <w:sz w:val="24"/>
          <w:lang w:val="en-US" w:eastAsia="zh-CN"/>
        </w:rPr>
        <w:t>正本，3份副本；电子标书1份</w:t>
      </w:r>
      <w:r>
        <w:rPr>
          <w:rFonts w:ascii="宋体" w:hAnsi="宋体" w:cs="宋体"/>
          <w:kern w:val="1"/>
          <w:sz w:val="24"/>
        </w:rPr>
        <w:t>。</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.2投标文件应使用A4复印纸打印、复印或不能擦去的墨水书写，文字要清晰，语意要明确，并按招标文件的要求加盖单位公章和法定代表人（或委托代理人）签名。</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.3投标文件中若出现数字大写与小写不一致时，以大写为准。</w:t>
      </w:r>
    </w:p>
    <w:p>
      <w:pPr>
        <w:pStyle w:val="75"/>
        <w:spacing w:line="440" w:lineRule="atLeast"/>
        <w:ind w:firstLine="482"/>
        <w:rPr>
          <w:rFonts w:ascii="宋体" w:hAnsi="宋体" w:cs="宋体"/>
          <w:kern w:val="1"/>
          <w:sz w:val="24"/>
        </w:rPr>
      </w:pPr>
      <w:r>
        <w:rPr>
          <w:rFonts w:hint="eastAsia" w:ascii="宋体" w:hAnsi="宋体" w:cs="宋体"/>
          <w:kern w:val="1"/>
          <w:sz w:val="24"/>
        </w:rPr>
        <w:t>12.4所递交的每份投标文件必须在文件左侧装订并胶封，不得使用活页装订，未按照规定装订的投标文件将按废标处理。</w:t>
      </w:r>
      <w:bookmarkStart w:id="24" w:name="_Toc246297331"/>
      <w:bookmarkEnd w:id="24"/>
      <w:bookmarkStart w:id="25" w:name="_Toc226087977"/>
      <w:bookmarkEnd w:id="25"/>
      <w:bookmarkStart w:id="26" w:name="_Toc225246227"/>
      <w:bookmarkEnd w:id="26"/>
      <w:bookmarkStart w:id="27" w:name="_Toc225247632"/>
      <w:bookmarkEnd w:id="27"/>
    </w:p>
    <w:p>
      <w:pPr>
        <w:pStyle w:val="5"/>
        <w:bidi w:val="0"/>
      </w:pPr>
      <w:bookmarkStart w:id="28" w:name="_Toc459843301"/>
      <w:bookmarkStart w:id="29" w:name="_Toc26920"/>
      <w:r>
        <w:t>五</w:t>
      </w:r>
      <w:r>
        <w:rPr>
          <w:rFonts w:hint="eastAsia"/>
        </w:rPr>
        <w:t>、投标文件的递交</w:t>
      </w:r>
      <w:bookmarkEnd w:id="28"/>
      <w:bookmarkEnd w:id="29"/>
    </w:p>
    <w:p>
      <w:pPr>
        <w:pStyle w:val="6"/>
        <w:bidi w:val="0"/>
      </w:pPr>
      <w:r>
        <w:rPr>
          <w:rFonts w:hint="eastAsia"/>
        </w:rPr>
        <w:t>13.</w:t>
      </w:r>
      <w:r>
        <w:t>投标文件的密封与标记</w:t>
      </w:r>
    </w:p>
    <w:p>
      <w:pPr>
        <w:pStyle w:val="75"/>
        <w:spacing w:line="440" w:lineRule="atLeast"/>
        <w:ind w:firstLine="480"/>
        <w:rPr>
          <w:rFonts w:ascii="宋体" w:hAnsi="宋体" w:cs="宋体"/>
          <w:kern w:val="1"/>
          <w:sz w:val="24"/>
        </w:rPr>
      </w:pPr>
      <w:r>
        <w:rPr>
          <w:rFonts w:hint="eastAsia" w:ascii="宋体" w:hAnsi="宋体" w:cs="宋体"/>
          <w:kern w:val="1"/>
          <w:sz w:val="24"/>
        </w:rPr>
        <w:t>13.1投标文件的正</w:t>
      </w:r>
      <w:r>
        <w:rPr>
          <w:rFonts w:hint="eastAsia" w:ascii="宋体" w:hAnsi="宋体" w:cs="宋体"/>
          <w:kern w:val="1"/>
          <w:sz w:val="24"/>
          <w:lang w:val="en-US" w:eastAsia="zh-CN"/>
        </w:rPr>
        <w:t>副</w:t>
      </w:r>
      <w:r>
        <w:rPr>
          <w:rFonts w:hint="eastAsia" w:ascii="宋体" w:hAnsi="宋体" w:cs="宋体"/>
          <w:kern w:val="1"/>
          <w:sz w:val="24"/>
        </w:rPr>
        <w:t>本应装袋密封，不密封的投标文件无效。密封袋上应标有“正本”</w:t>
      </w:r>
      <w:r>
        <w:rPr>
          <w:rFonts w:hint="eastAsia" w:ascii="宋体" w:hAnsi="宋体" w:cs="宋体"/>
          <w:kern w:val="1"/>
          <w:sz w:val="24"/>
          <w:lang w:eastAsia="zh-CN"/>
        </w:rPr>
        <w:t>“</w:t>
      </w:r>
      <w:r>
        <w:rPr>
          <w:rFonts w:hint="eastAsia" w:ascii="宋体" w:hAnsi="宋体" w:cs="宋体"/>
          <w:kern w:val="1"/>
          <w:sz w:val="24"/>
          <w:lang w:val="en-US" w:eastAsia="zh-CN"/>
        </w:rPr>
        <w:t>副本</w:t>
      </w:r>
      <w:r>
        <w:rPr>
          <w:rFonts w:hint="eastAsia" w:ascii="宋体" w:hAnsi="宋体" w:cs="宋体"/>
          <w:kern w:val="1"/>
          <w:sz w:val="24"/>
          <w:lang w:eastAsia="zh-CN"/>
        </w:rPr>
        <w:t>”</w:t>
      </w:r>
      <w:r>
        <w:rPr>
          <w:rFonts w:hint="eastAsia" w:ascii="宋体" w:hAnsi="宋体" w:cs="宋体"/>
          <w:kern w:val="1"/>
          <w:sz w:val="24"/>
        </w:rPr>
        <w:t>字样。在所有的包装袋及外包装上应写明：</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13.1.1招标人的名称；       </w:t>
      </w:r>
    </w:p>
    <w:p>
      <w:pPr>
        <w:pStyle w:val="75"/>
        <w:spacing w:line="440" w:lineRule="atLeast"/>
        <w:ind w:firstLine="480"/>
        <w:rPr>
          <w:rFonts w:ascii="宋体" w:hAnsi="宋体" w:cs="宋体"/>
          <w:kern w:val="1"/>
          <w:sz w:val="24"/>
        </w:rPr>
      </w:pPr>
      <w:r>
        <w:rPr>
          <w:rFonts w:hint="eastAsia" w:ascii="宋体" w:hAnsi="宋体" w:cs="宋体"/>
          <w:kern w:val="1"/>
          <w:sz w:val="24"/>
        </w:rPr>
        <w:t>13.1.2投标的标书名称及标段编号；</w:t>
      </w:r>
    </w:p>
    <w:p>
      <w:pPr>
        <w:pStyle w:val="75"/>
        <w:spacing w:line="440" w:lineRule="atLeast"/>
        <w:ind w:firstLine="480"/>
        <w:rPr>
          <w:rFonts w:ascii="宋体" w:hAnsi="宋体" w:cs="宋体"/>
          <w:kern w:val="1"/>
          <w:sz w:val="24"/>
        </w:rPr>
      </w:pPr>
      <w:r>
        <w:rPr>
          <w:rFonts w:hint="eastAsia" w:ascii="宋体" w:hAnsi="宋体" w:cs="宋体"/>
          <w:kern w:val="1"/>
          <w:sz w:val="24"/>
        </w:rPr>
        <w:t>13.1.3在规定的开标时间前不准启封；</w:t>
      </w:r>
    </w:p>
    <w:p>
      <w:pPr>
        <w:pStyle w:val="75"/>
        <w:spacing w:line="440" w:lineRule="atLeast"/>
        <w:ind w:firstLine="480"/>
        <w:rPr>
          <w:rFonts w:ascii="宋体" w:hAnsi="宋体" w:cs="宋体"/>
          <w:kern w:val="1"/>
          <w:sz w:val="24"/>
        </w:rPr>
      </w:pPr>
      <w:r>
        <w:rPr>
          <w:rFonts w:hint="eastAsia" w:ascii="宋体" w:hAnsi="宋体" w:cs="宋体"/>
          <w:kern w:val="1"/>
          <w:sz w:val="24"/>
        </w:rPr>
        <w:t>13.1.4投标人的名称和地址。</w:t>
      </w:r>
    </w:p>
    <w:p>
      <w:pPr>
        <w:pStyle w:val="75"/>
        <w:spacing w:line="440" w:lineRule="atLeast"/>
        <w:ind w:firstLine="480"/>
        <w:rPr>
          <w:rFonts w:ascii="宋体" w:hAnsi="宋体" w:cs="宋体"/>
          <w:kern w:val="1"/>
          <w:sz w:val="24"/>
        </w:rPr>
      </w:pPr>
      <w:r>
        <w:rPr>
          <w:rFonts w:hint="eastAsia" w:ascii="宋体" w:hAnsi="宋体" w:cs="宋体"/>
          <w:kern w:val="1"/>
          <w:sz w:val="24"/>
        </w:rPr>
        <w:t>13.2若投标人未按上述规定进行密封和标记，招标人将按废标处理并不接受任何解释，不承担因此而造成的任何责任。</w:t>
      </w:r>
    </w:p>
    <w:p>
      <w:pPr>
        <w:pStyle w:val="75"/>
        <w:spacing w:line="440" w:lineRule="atLeast"/>
        <w:ind w:firstLine="480"/>
        <w:rPr>
          <w:rFonts w:ascii="宋体" w:hAnsi="宋体" w:cs="宋体"/>
          <w:kern w:val="1"/>
          <w:sz w:val="24"/>
        </w:rPr>
      </w:pPr>
      <w:r>
        <w:rPr>
          <w:rFonts w:hint="eastAsia" w:ascii="宋体" w:hAnsi="宋体" w:cs="宋体"/>
          <w:kern w:val="1"/>
          <w:sz w:val="24"/>
        </w:rPr>
        <w:t>13.3迟到的投标文件：在规定的投标截止时间后送达的投标文件，招标人将拒收。</w:t>
      </w:r>
      <w:bookmarkStart w:id="30" w:name="_Toc225246228"/>
      <w:bookmarkEnd w:id="30"/>
      <w:bookmarkStart w:id="31" w:name="_Toc225247633"/>
      <w:bookmarkEnd w:id="31"/>
      <w:bookmarkStart w:id="32" w:name="_Toc246297332"/>
      <w:bookmarkEnd w:id="32"/>
      <w:bookmarkStart w:id="33" w:name="_Toc226087978"/>
      <w:bookmarkEnd w:id="33"/>
    </w:p>
    <w:p>
      <w:pPr>
        <w:pStyle w:val="5"/>
        <w:bidi w:val="0"/>
      </w:pPr>
      <w:bookmarkStart w:id="34" w:name="_Toc459843302"/>
      <w:bookmarkStart w:id="35" w:name="_Toc31446"/>
      <w:r>
        <w:t>六</w:t>
      </w:r>
      <w:r>
        <w:rPr>
          <w:rFonts w:hint="eastAsia"/>
        </w:rPr>
        <w:t>、开标和评标</w:t>
      </w:r>
      <w:bookmarkEnd w:id="34"/>
      <w:bookmarkEnd w:id="35"/>
    </w:p>
    <w:p>
      <w:pPr>
        <w:pStyle w:val="6"/>
        <w:bidi w:val="0"/>
      </w:pPr>
      <w:r>
        <w:rPr>
          <w:rFonts w:hint="eastAsia"/>
        </w:rPr>
        <w:t>14.</w:t>
      </w:r>
      <w:r>
        <w:t>开标</w:t>
      </w:r>
    </w:p>
    <w:p>
      <w:pPr>
        <w:pStyle w:val="75"/>
        <w:spacing w:line="440" w:lineRule="atLeast"/>
        <w:ind w:firstLine="480"/>
        <w:rPr>
          <w:rFonts w:ascii="宋体" w:hAnsi="宋体" w:cs="宋体"/>
          <w:kern w:val="1"/>
          <w:sz w:val="24"/>
        </w:rPr>
      </w:pPr>
      <w:r>
        <w:rPr>
          <w:rFonts w:hint="eastAsia" w:ascii="宋体" w:hAnsi="宋体" w:cs="宋体"/>
          <w:kern w:val="1"/>
          <w:sz w:val="24"/>
        </w:rPr>
        <w:t>14.1招标人将于《投标人须知前附表》第3</w:t>
      </w:r>
      <w:r>
        <w:rPr>
          <w:rFonts w:hint="eastAsia" w:ascii="宋体" w:hAnsi="宋体" w:cs="宋体"/>
          <w:kern w:val="1"/>
          <w:sz w:val="24"/>
          <w:lang w:val="en-US" w:eastAsia="zh-CN"/>
        </w:rPr>
        <w:t>4</w:t>
      </w:r>
      <w:r>
        <w:rPr>
          <w:rFonts w:hint="eastAsia" w:ascii="宋体" w:hAnsi="宋体" w:cs="宋体"/>
          <w:kern w:val="1"/>
          <w:sz w:val="24"/>
        </w:rPr>
        <w:t>项规定的时间和地点开标，所有投标人应派授权代表参加，并在招标人指定的登记册上签名报到。若投标人未派授权代理人或临时指派非授权代理人出席开标会议，则招标人可以宣布其已放弃投标。</w:t>
      </w:r>
    </w:p>
    <w:p>
      <w:pPr>
        <w:pStyle w:val="75"/>
        <w:spacing w:line="440" w:lineRule="atLeast"/>
        <w:ind w:firstLine="480"/>
        <w:rPr>
          <w:rFonts w:ascii="宋体" w:hAnsi="宋体" w:cs="宋体"/>
          <w:kern w:val="1"/>
          <w:sz w:val="24"/>
        </w:rPr>
      </w:pPr>
      <w:r>
        <w:rPr>
          <w:rFonts w:hint="eastAsia" w:ascii="宋体" w:hAnsi="宋体" w:cs="宋体"/>
          <w:kern w:val="1"/>
          <w:sz w:val="24"/>
        </w:rPr>
        <w:t>14.2开标会上将公布各投标人名称、投标文件中其他需要宣布的内容。</w:t>
      </w:r>
      <w:bookmarkStart w:id="36" w:name="_Toc225246229"/>
      <w:bookmarkEnd w:id="36"/>
      <w:bookmarkStart w:id="37" w:name="_Toc246297333"/>
      <w:bookmarkEnd w:id="37"/>
      <w:bookmarkStart w:id="38" w:name="_Toc225247634"/>
      <w:bookmarkEnd w:id="38"/>
      <w:bookmarkStart w:id="39" w:name="_Toc226087979"/>
      <w:bookmarkEnd w:id="39"/>
    </w:p>
    <w:p>
      <w:pPr>
        <w:pStyle w:val="75"/>
        <w:spacing w:line="440" w:lineRule="atLeast"/>
        <w:ind w:firstLine="480"/>
        <w:rPr>
          <w:rFonts w:ascii="宋体" w:hAnsi="宋体" w:cs="宋体"/>
          <w:kern w:val="1"/>
          <w:sz w:val="24"/>
        </w:rPr>
      </w:pPr>
      <w:r>
        <w:rPr>
          <w:rFonts w:hint="eastAsia" w:ascii="宋体" w:hAnsi="宋体" w:cs="宋体"/>
          <w:kern w:val="1"/>
          <w:sz w:val="24"/>
        </w:rPr>
        <w:t>14.3原件</w:t>
      </w:r>
    </w:p>
    <w:p>
      <w:pPr>
        <w:pStyle w:val="75"/>
        <w:spacing w:line="440" w:lineRule="atLeast"/>
        <w:ind w:firstLine="480"/>
        <w:rPr>
          <w:rFonts w:ascii="宋体" w:hAnsi="宋体" w:cs="宋体"/>
          <w:kern w:val="1"/>
          <w:sz w:val="24"/>
        </w:rPr>
      </w:pPr>
      <w:r>
        <w:rPr>
          <w:rFonts w:hint="eastAsia" w:ascii="宋体" w:hAnsi="宋体" w:cs="宋体"/>
          <w:kern w:val="1"/>
          <w:sz w:val="24"/>
        </w:rPr>
        <w:t>投标人须知前附表要求投标人提交原件的，投标人在递交投标文件时按招标公告中所列提交原件。经查验后退回投标人。</w:t>
      </w:r>
    </w:p>
    <w:p>
      <w:pPr>
        <w:pStyle w:val="75"/>
        <w:spacing w:line="440" w:lineRule="atLeast"/>
        <w:ind w:firstLine="480"/>
        <w:rPr>
          <w:rFonts w:ascii="宋体" w:hAnsi="宋体" w:cs="宋体"/>
          <w:kern w:val="1"/>
          <w:sz w:val="24"/>
        </w:rPr>
      </w:pPr>
      <w:r>
        <w:rPr>
          <w:rFonts w:hint="eastAsia" w:ascii="宋体" w:hAnsi="宋体" w:cs="宋体"/>
          <w:kern w:val="1"/>
          <w:sz w:val="24"/>
        </w:rPr>
        <w:t>14.4本次开标流程为</w:t>
      </w:r>
      <w:r>
        <w:rPr>
          <w:rFonts w:hint="eastAsia" w:ascii="宋体" w:hAnsi="宋体" w:cs="宋体"/>
          <w:kern w:val="1"/>
          <w:sz w:val="24"/>
          <w:lang w:val="en-US" w:eastAsia="zh-CN"/>
        </w:rPr>
        <w:t>开标地点</w:t>
      </w:r>
      <w:r>
        <w:rPr>
          <w:rFonts w:hint="eastAsia" w:ascii="宋体" w:hAnsi="宋体" w:cs="宋体"/>
          <w:kern w:val="1"/>
          <w:sz w:val="24"/>
        </w:rPr>
        <w:t>报价</w:t>
      </w:r>
      <w:r>
        <w:rPr>
          <w:rFonts w:hint="eastAsia" w:ascii="宋体" w:hAnsi="宋体" w:cs="宋体"/>
          <w:kern w:val="1"/>
          <w:sz w:val="24"/>
          <w:lang w:val="en-US" w:eastAsia="zh-CN"/>
        </w:rPr>
        <w:t>谈判</w:t>
      </w:r>
      <w:r>
        <w:rPr>
          <w:rFonts w:hint="eastAsia" w:ascii="宋体" w:hAnsi="宋体" w:cs="宋体"/>
          <w:kern w:val="1"/>
          <w:sz w:val="24"/>
        </w:rPr>
        <w:t>（仅限于</w:t>
      </w:r>
      <w:r>
        <w:rPr>
          <w:rFonts w:hint="eastAsia" w:ascii="宋体" w:hAnsi="宋体" w:cs="宋体"/>
          <w:bCs/>
          <w:sz w:val="24"/>
          <w:shd w:val="clear" w:color="auto" w:fill="FFFFFF"/>
        </w:rPr>
        <w:t>2021年</w:t>
      </w:r>
      <w:r>
        <w:rPr>
          <w:rFonts w:hint="eastAsia" w:ascii="宋体" w:hAnsi="宋体" w:cs="宋体"/>
          <w:bCs/>
          <w:sz w:val="24"/>
          <w:shd w:val="clear" w:color="auto" w:fill="FFFFFF"/>
          <w:lang w:val="en-US" w:eastAsia="zh-CN"/>
        </w:rPr>
        <w:t>9</w:t>
      </w:r>
      <w:r>
        <w:rPr>
          <w:rFonts w:hint="eastAsia" w:ascii="宋体" w:hAnsi="宋体" w:cs="宋体"/>
          <w:bCs/>
          <w:sz w:val="24"/>
          <w:shd w:val="clear" w:color="auto" w:fill="FFFFFF"/>
        </w:rPr>
        <w:t>月</w:t>
      </w:r>
      <w:r>
        <w:rPr>
          <w:rFonts w:hint="eastAsia" w:ascii="宋体" w:hAnsi="宋体" w:cs="宋体"/>
          <w:bCs/>
          <w:sz w:val="24"/>
          <w:shd w:val="clear" w:color="auto" w:fill="FFFFFF"/>
          <w:lang w:val="en-US" w:eastAsia="zh-CN"/>
        </w:rPr>
        <w:t>15</w:t>
      </w:r>
      <w:r>
        <w:rPr>
          <w:rFonts w:hint="eastAsia" w:ascii="宋体" w:hAnsi="宋体" w:cs="宋体"/>
          <w:bCs/>
          <w:sz w:val="24"/>
          <w:shd w:val="clear" w:color="auto" w:fill="FFFFFF"/>
        </w:rPr>
        <w:t>日下</w:t>
      </w:r>
      <w:r>
        <w:rPr>
          <w:rFonts w:hint="eastAsia" w:ascii="宋体" w:hAnsi="宋体" w:cs="宋体"/>
          <w:bCs/>
          <w:sz w:val="24"/>
          <w:shd w:val="clear" w:color="auto" w:fill="FFFFFF"/>
          <w:lang w:val="en-US" w:eastAsia="zh-CN"/>
        </w:rPr>
        <w:t>上午9</w:t>
      </w:r>
      <w:r>
        <w:rPr>
          <w:rFonts w:hint="eastAsia" w:ascii="宋体" w:hAnsi="宋体" w:cs="宋体"/>
          <w:bCs/>
          <w:sz w:val="24"/>
          <w:shd w:val="clear" w:color="auto" w:fill="FFFFFF"/>
        </w:rPr>
        <w:t>:</w:t>
      </w:r>
      <w:r>
        <w:rPr>
          <w:rFonts w:hint="eastAsia" w:ascii="宋体" w:hAnsi="宋体" w:cs="宋体"/>
          <w:bCs/>
          <w:sz w:val="24"/>
          <w:shd w:val="clear" w:color="auto" w:fill="FFFFFF"/>
          <w:lang w:val="en-US" w:eastAsia="zh-CN"/>
        </w:rPr>
        <w:t>0</w:t>
      </w:r>
      <w:r>
        <w:rPr>
          <w:rFonts w:hint="eastAsia" w:ascii="宋体" w:hAnsi="宋体" w:cs="宋体"/>
          <w:bCs/>
          <w:sz w:val="24"/>
          <w:shd w:val="clear" w:color="auto" w:fill="FFFFFF"/>
        </w:rPr>
        <w:t>0</w:t>
      </w:r>
      <w:r>
        <w:rPr>
          <w:rFonts w:hint="eastAsia" w:ascii="宋体" w:hAnsi="宋体" w:cs="宋体"/>
          <w:bCs/>
          <w:sz w:val="24"/>
          <w:shd w:val="clear" w:color="auto" w:fill="FFFFFF"/>
          <w:lang w:val="en-US" w:eastAsia="zh-CN"/>
        </w:rPr>
        <w:t>-12:00</w:t>
      </w:r>
      <w:r>
        <w:rPr>
          <w:rFonts w:hint="eastAsia" w:ascii="宋体" w:hAnsi="宋体" w:cs="宋体"/>
          <w:kern w:val="1"/>
          <w:sz w:val="24"/>
        </w:rPr>
        <w:t>）。</w:t>
      </w:r>
    </w:p>
    <w:p>
      <w:pPr>
        <w:pStyle w:val="6"/>
        <w:bidi w:val="0"/>
      </w:pPr>
      <w:r>
        <w:rPr>
          <w:rFonts w:hint="eastAsia"/>
        </w:rPr>
        <w:t>15.评标</w:t>
      </w:r>
    </w:p>
    <w:p>
      <w:pPr>
        <w:pStyle w:val="75"/>
        <w:spacing w:line="440" w:lineRule="atLeast"/>
        <w:ind w:firstLine="480"/>
        <w:rPr>
          <w:rFonts w:ascii="宋体" w:hAnsi="宋体" w:cs="宋体"/>
          <w:kern w:val="1"/>
          <w:sz w:val="24"/>
        </w:rPr>
      </w:pPr>
      <w:r>
        <w:rPr>
          <w:rFonts w:hint="eastAsia" w:ascii="宋体" w:hAnsi="宋体" w:cs="宋体"/>
          <w:kern w:val="1"/>
          <w:sz w:val="24"/>
        </w:rPr>
        <w:t>15.1评标原则：评标活动遵循公平、公正、科学和择优的原则。评标委员会成员应客观、公正地履行职责，遵守职业道德，认真对投标文件进行审查、评价和比较，并对所提出的评审意见承担个人责任。</w:t>
      </w:r>
    </w:p>
    <w:p>
      <w:pPr>
        <w:pStyle w:val="75"/>
        <w:spacing w:line="440" w:lineRule="atLeast"/>
        <w:ind w:firstLine="472" w:firstLineChars="197"/>
        <w:rPr>
          <w:rFonts w:ascii="宋体" w:hAnsi="宋体" w:cs="宋体"/>
          <w:kern w:val="1"/>
          <w:sz w:val="24"/>
        </w:rPr>
      </w:pPr>
      <w:r>
        <w:rPr>
          <w:rFonts w:hint="eastAsia" w:ascii="宋体" w:hAnsi="宋体" w:cs="宋体"/>
          <w:kern w:val="1"/>
          <w:sz w:val="24"/>
        </w:rPr>
        <w:t>15.2评标方法：见评分标准</w:t>
      </w:r>
    </w:p>
    <w:p>
      <w:pPr>
        <w:pStyle w:val="75"/>
        <w:spacing w:line="440" w:lineRule="atLeast"/>
        <w:ind w:left="359" w:leftChars="171" w:firstLine="120" w:firstLineChars="50"/>
        <w:rPr>
          <w:rFonts w:ascii="宋体" w:hAnsi="宋体" w:cs="宋体"/>
          <w:kern w:val="1"/>
          <w:sz w:val="24"/>
        </w:rPr>
      </w:pPr>
      <w:r>
        <w:rPr>
          <w:rFonts w:hint="eastAsia" w:ascii="宋体" w:hAnsi="宋体" w:cs="宋体"/>
          <w:kern w:val="1"/>
          <w:sz w:val="24"/>
        </w:rPr>
        <w:t>15.3评标内容的保密</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3.1开标后</w:t>
      </w:r>
      <w:r>
        <w:rPr>
          <w:rFonts w:hint="eastAsia" w:ascii="宋体" w:hAnsi="宋体" w:cs="宋体"/>
          <w:kern w:val="1"/>
          <w:sz w:val="24"/>
          <w:lang w:val="en-US" w:eastAsia="zh-CN"/>
        </w:rPr>
        <w:t>按照报价情况现场考虑是否</w:t>
      </w:r>
      <w:r>
        <w:rPr>
          <w:rFonts w:hint="eastAsia" w:ascii="宋体" w:hAnsi="宋体" w:cs="宋体"/>
          <w:kern w:val="1"/>
          <w:sz w:val="24"/>
        </w:rPr>
        <w:t>采取背靠背谈判，</w:t>
      </w:r>
      <w:r>
        <w:rPr>
          <w:rFonts w:hint="eastAsia" w:ascii="宋体" w:hAnsi="宋体" w:cs="宋体"/>
          <w:kern w:val="1"/>
          <w:sz w:val="24"/>
          <w:lang w:val="en-US" w:eastAsia="zh-CN"/>
        </w:rPr>
        <w:t>直至</w:t>
      </w:r>
      <w:r>
        <w:rPr>
          <w:rFonts w:hint="eastAsia" w:ascii="宋体" w:hAnsi="宋体" w:cs="宋体"/>
          <w:kern w:val="1"/>
          <w:sz w:val="24"/>
        </w:rPr>
        <w:t>宣布与中标单位签订合同为止，凡属于审查、澄清、评价和比较投标的所有资料，有关授予合同的信息都不应向投标人或与评标无关的其他人泄露。</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w:t>
      </w:r>
      <w:r>
        <w:rPr>
          <w:rFonts w:ascii="宋体" w:hAnsi="宋体" w:cs="宋体"/>
          <w:kern w:val="1"/>
          <w:sz w:val="24"/>
        </w:rPr>
        <w:t>2</w:t>
      </w:r>
      <w:r>
        <w:rPr>
          <w:rFonts w:hint="eastAsia" w:ascii="宋体" w:hAnsi="宋体" w:cs="宋体"/>
          <w:kern w:val="1"/>
          <w:sz w:val="24"/>
        </w:rPr>
        <w:t>在投标文件的审查、澄清、评价和比较以及签订合同的过程中，投标人对招标人和评标委员会成员施加影响的任何行为，都将取消其中标资格。</w:t>
      </w:r>
    </w:p>
    <w:p>
      <w:pPr>
        <w:pStyle w:val="6"/>
        <w:bidi w:val="0"/>
      </w:pPr>
      <w:r>
        <w:rPr>
          <w:rFonts w:hint="eastAsia"/>
        </w:rPr>
        <w:t>16.投标文件的评价和比较</w:t>
      </w:r>
    </w:p>
    <w:p>
      <w:pPr>
        <w:pStyle w:val="75"/>
        <w:spacing w:line="440" w:lineRule="atLeast"/>
        <w:ind w:firstLine="480"/>
        <w:rPr>
          <w:rFonts w:ascii="宋体" w:hAnsi="宋体" w:cs="宋体"/>
          <w:kern w:val="1"/>
          <w:sz w:val="24"/>
        </w:rPr>
      </w:pPr>
      <w:r>
        <w:rPr>
          <w:rFonts w:hint="eastAsia" w:ascii="宋体" w:hAnsi="宋体" w:cs="宋体"/>
          <w:kern w:val="1"/>
          <w:sz w:val="24"/>
        </w:rPr>
        <w:t>16.1评标委员会将仅对按照本须知有关规定确定为实质上响应招标文件要求的投标文件进行评价和比较。</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16.2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5"/>
        <w:spacing w:line="440" w:lineRule="atLeast"/>
        <w:ind w:firstLine="480"/>
        <w:rPr>
          <w:rFonts w:ascii="宋体" w:hAnsi="宋体" w:cs="宋体"/>
          <w:kern w:val="1"/>
          <w:sz w:val="24"/>
        </w:rPr>
      </w:pPr>
      <w:r>
        <w:rPr>
          <w:rFonts w:hint="eastAsia" w:ascii="宋体" w:hAnsi="宋体" w:cs="宋体"/>
          <w:kern w:val="1"/>
          <w:sz w:val="24"/>
        </w:rPr>
        <w:t>16.2.1设备安装实施方案和工期；</w:t>
      </w:r>
    </w:p>
    <w:p>
      <w:pPr>
        <w:pStyle w:val="75"/>
        <w:spacing w:line="440" w:lineRule="atLeast"/>
        <w:ind w:firstLine="480"/>
        <w:rPr>
          <w:rFonts w:ascii="宋体" w:hAnsi="宋体" w:cs="宋体"/>
          <w:kern w:val="1"/>
          <w:sz w:val="24"/>
        </w:rPr>
      </w:pPr>
      <w:r>
        <w:rPr>
          <w:rFonts w:hint="eastAsia" w:ascii="宋体" w:hAnsi="宋体" w:cs="宋体"/>
          <w:kern w:val="1"/>
          <w:sz w:val="24"/>
        </w:rPr>
        <w:t>16.2.3 投标者的资信情况和履约能力；</w:t>
      </w:r>
    </w:p>
    <w:p>
      <w:pPr>
        <w:pStyle w:val="75"/>
        <w:spacing w:line="440" w:lineRule="atLeast"/>
        <w:ind w:firstLine="480"/>
        <w:rPr>
          <w:rFonts w:ascii="宋体" w:hAnsi="宋体" w:cs="宋体"/>
          <w:kern w:val="1"/>
          <w:sz w:val="24"/>
        </w:rPr>
      </w:pPr>
      <w:r>
        <w:rPr>
          <w:rFonts w:hint="eastAsia" w:ascii="宋体" w:hAnsi="宋体" w:cs="宋体"/>
          <w:kern w:val="1"/>
          <w:sz w:val="24"/>
        </w:rPr>
        <w:t>16.2.4 投标者的生产能力及售后服务措施；</w:t>
      </w:r>
    </w:p>
    <w:p>
      <w:pPr>
        <w:pStyle w:val="75"/>
        <w:spacing w:line="440" w:lineRule="atLeast"/>
        <w:ind w:firstLine="480"/>
        <w:rPr>
          <w:rFonts w:ascii="宋体" w:hAnsi="宋体" w:cs="宋体"/>
          <w:kern w:val="1"/>
          <w:sz w:val="24"/>
        </w:rPr>
      </w:pPr>
      <w:r>
        <w:rPr>
          <w:rFonts w:hint="eastAsia" w:ascii="宋体" w:hAnsi="宋体" w:cs="宋体"/>
          <w:kern w:val="1"/>
          <w:sz w:val="24"/>
        </w:rPr>
        <w:t>16.2.5 投标者提供的其他优惠条件；</w:t>
      </w:r>
    </w:p>
    <w:p>
      <w:pPr>
        <w:pStyle w:val="6"/>
        <w:bidi w:val="0"/>
      </w:pPr>
      <w:r>
        <w:rPr>
          <w:rFonts w:hint="eastAsia"/>
        </w:rPr>
        <w:t>17.废标</w:t>
      </w:r>
    </w:p>
    <w:p>
      <w:pPr>
        <w:pStyle w:val="75"/>
        <w:spacing w:line="440" w:lineRule="atLeast"/>
        <w:ind w:firstLine="480"/>
        <w:rPr>
          <w:rFonts w:ascii="宋体" w:hAnsi="宋体" w:cs="宋体"/>
          <w:kern w:val="1"/>
          <w:sz w:val="24"/>
        </w:rPr>
      </w:pPr>
      <w:r>
        <w:rPr>
          <w:rFonts w:hint="eastAsia" w:ascii="宋体" w:hAnsi="宋体" w:cs="宋体"/>
          <w:kern w:val="1"/>
          <w:sz w:val="24"/>
        </w:rPr>
        <w:t>17.1 在招标过程中，出现下列情况之一的，应予废标：</w:t>
      </w:r>
    </w:p>
    <w:p>
      <w:pPr>
        <w:pStyle w:val="75"/>
        <w:spacing w:line="440" w:lineRule="atLeast"/>
        <w:ind w:firstLine="480"/>
        <w:rPr>
          <w:rFonts w:ascii="宋体" w:hAnsi="宋体" w:cs="宋体"/>
          <w:kern w:val="1"/>
          <w:sz w:val="24"/>
        </w:rPr>
      </w:pPr>
      <w:r>
        <w:rPr>
          <w:rFonts w:hint="eastAsia" w:ascii="宋体" w:hAnsi="宋体" w:cs="宋体"/>
          <w:kern w:val="1"/>
          <w:sz w:val="24"/>
        </w:rPr>
        <w:t>17.1.1符合专业条件的供应商或者对招标文件作实质响应的供应商不足三家的；</w:t>
      </w:r>
    </w:p>
    <w:p>
      <w:pPr>
        <w:pStyle w:val="75"/>
        <w:spacing w:line="440" w:lineRule="atLeast"/>
        <w:ind w:firstLine="480"/>
        <w:rPr>
          <w:rFonts w:ascii="宋体" w:hAnsi="宋体" w:cs="宋体"/>
          <w:kern w:val="1"/>
          <w:sz w:val="24"/>
        </w:rPr>
      </w:pPr>
      <w:r>
        <w:rPr>
          <w:rFonts w:hint="eastAsia" w:ascii="宋体" w:hAnsi="宋体" w:cs="宋体"/>
          <w:kern w:val="1"/>
          <w:sz w:val="24"/>
        </w:rPr>
        <w:t>17.1.2出现影响采购公正的违法、违规行为的；</w:t>
      </w:r>
    </w:p>
    <w:p>
      <w:pPr>
        <w:pStyle w:val="75"/>
        <w:spacing w:line="440" w:lineRule="atLeast"/>
        <w:ind w:firstLine="480"/>
        <w:rPr>
          <w:rFonts w:ascii="宋体" w:hAnsi="宋体" w:cs="宋体"/>
          <w:kern w:val="1"/>
          <w:sz w:val="24"/>
        </w:rPr>
      </w:pPr>
      <w:r>
        <w:rPr>
          <w:rFonts w:hint="eastAsia" w:ascii="宋体" w:hAnsi="宋体" w:cs="宋体"/>
          <w:kern w:val="1"/>
          <w:sz w:val="24"/>
        </w:rPr>
        <w:t>17.1.3投标人的报价均超过了采购控制价，采购方不能支付的；</w:t>
      </w:r>
    </w:p>
    <w:p>
      <w:pPr>
        <w:pStyle w:val="75"/>
        <w:spacing w:line="440" w:lineRule="atLeast"/>
        <w:ind w:firstLine="480"/>
        <w:rPr>
          <w:rFonts w:ascii="宋体" w:hAnsi="宋体" w:cs="宋体"/>
          <w:kern w:val="1"/>
          <w:sz w:val="24"/>
        </w:rPr>
      </w:pPr>
      <w:r>
        <w:rPr>
          <w:rFonts w:hint="eastAsia" w:ascii="宋体" w:hAnsi="宋体" w:cs="宋体"/>
          <w:kern w:val="1"/>
          <w:sz w:val="24"/>
        </w:rPr>
        <w:t>17.1.4因重大变故，采购任务取消的；</w:t>
      </w:r>
    </w:p>
    <w:p>
      <w:pPr>
        <w:pStyle w:val="6"/>
        <w:bidi w:val="0"/>
      </w:pPr>
      <w:r>
        <w:rPr>
          <w:rFonts w:hint="eastAsia"/>
        </w:rPr>
        <w:t>18.重新招标</w:t>
      </w:r>
    </w:p>
    <w:p>
      <w:pPr>
        <w:pStyle w:val="75"/>
        <w:spacing w:line="440" w:lineRule="atLeast"/>
        <w:ind w:firstLine="480"/>
        <w:rPr>
          <w:rFonts w:ascii="宋体" w:hAnsi="宋体" w:cs="宋体"/>
          <w:kern w:val="1"/>
          <w:sz w:val="24"/>
        </w:rPr>
      </w:pPr>
      <w:r>
        <w:rPr>
          <w:rFonts w:hint="eastAsia" w:ascii="宋体" w:hAnsi="宋体" w:cs="宋体"/>
          <w:kern w:val="1"/>
          <w:sz w:val="24"/>
        </w:rPr>
        <w:t>有下列情形之一的，招标人将重新招标：</w:t>
      </w:r>
    </w:p>
    <w:p>
      <w:pPr>
        <w:pStyle w:val="75"/>
        <w:spacing w:line="440" w:lineRule="atLeast"/>
        <w:ind w:firstLine="480"/>
        <w:rPr>
          <w:rFonts w:ascii="宋体" w:hAnsi="宋体" w:cs="宋体"/>
          <w:kern w:val="1"/>
          <w:sz w:val="24"/>
        </w:rPr>
      </w:pPr>
      <w:r>
        <w:rPr>
          <w:rFonts w:hint="eastAsia" w:ascii="宋体" w:hAnsi="宋体" w:cs="宋体"/>
          <w:kern w:val="1"/>
          <w:sz w:val="24"/>
        </w:rPr>
        <w:t>18.1投标截止时间止，投标人少于3个的；</w:t>
      </w:r>
    </w:p>
    <w:p>
      <w:pPr>
        <w:pStyle w:val="75"/>
        <w:spacing w:line="440" w:lineRule="atLeast"/>
        <w:ind w:firstLine="480"/>
        <w:rPr>
          <w:rFonts w:ascii="宋体" w:hAnsi="宋体" w:cs="宋体"/>
          <w:kern w:val="1"/>
          <w:sz w:val="24"/>
        </w:rPr>
      </w:pPr>
      <w:r>
        <w:rPr>
          <w:rFonts w:hint="eastAsia" w:ascii="宋体" w:hAnsi="宋体" w:cs="宋体"/>
          <w:kern w:val="1"/>
          <w:sz w:val="24"/>
        </w:rPr>
        <w:t>18.2经评标委员会评审后否决所有投标的。</w:t>
      </w:r>
    </w:p>
    <w:p>
      <w:pPr>
        <w:pStyle w:val="5"/>
        <w:bidi w:val="0"/>
      </w:pPr>
      <w:bookmarkStart w:id="40" w:name="_Toc459843303"/>
      <w:bookmarkStart w:id="41" w:name="_Toc12552"/>
      <w:r>
        <w:t>七</w:t>
      </w:r>
      <w:r>
        <w:rPr>
          <w:rFonts w:hint="eastAsia"/>
        </w:rPr>
        <w:t>、确定中标人、中标通知和签订合同</w:t>
      </w:r>
      <w:bookmarkEnd w:id="40"/>
      <w:bookmarkEnd w:id="41"/>
    </w:p>
    <w:p>
      <w:pPr>
        <w:pStyle w:val="6"/>
        <w:bidi w:val="0"/>
      </w:pPr>
      <w:r>
        <w:rPr>
          <w:rFonts w:hint="eastAsia"/>
        </w:rPr>
        <w:t>19.确定中标人</w:t>
      </w:r>
    </w:p>
    <w:p>
      <w:pPr>
        <w:pStyle w:val="75"/>
        <w:spacing w:line="440" w:lineRule="atLeast"/>
        <w:ind w:firstLine="480"/>
        <w:rPr>
          <w:rFonts w:ascii="宋体" w:hAnsi="宋体" w:cs="宋体"/>
          <w:kern w:val="1"/>
          <w:sz w:val="24"/>
        </w:rPr>
      </w:pPr>
      <w:r>
        <w:rPr>
          <w:rFonts w:hint="eastAsia" w:ascii="宋体" w:hAnsi="宋体" w:cs="宋体"/>
          <w:kern w:val="1"/>
          <w:sz w:val="24"/>
        </w:rPr>
        <w:t>19.1招标人按照招标文件各项规定对投标文件进行综合评比后，将选择具有以下条件的投标人中标；</w:t>
      </w:r>
    </w:p>
    <w:p>
      <w:pPr>
        <w:pStyle w:val="75"/>
        <w:spacing w:line="440" w:lineRule="atLeast"/>
        <w:ind w:firstLine="480"/>
        <w:rPr>
          <w:rFonts w:ascii="宋体" w:hAnsi="宋体" w:cs="宋体"/>
          <w:kern w:val="1"/>
          <w:sz w:val="24"/>
        </w:rPr>
      </w:pPr>
      <w:r>
        <w:rPr>
          <w:rFonts w:hint="eastAsia" w:ascii="宋体" w:hAnsi="宋体" w:cs="宋体"/>
          <w:kern w:val="1"/>
          <w:sz w:val="24"/>
        </w:rPr>
        <w:t>19.1.1按招标文件规定的资格审查合格；</w:t>
      </w:r>
    </w:p>
    <w:p>
      <w:pPr>
        <w:pStyle w:val="75"/>
        <w:spacing w:line="440" w:lineRule="atLeast"/>
        <w:ind w:firstLine="480"/>
        <w:rPr>
          <w:rFonts w:ascii="宋体" w:hAnsi="宋体" w:cs="宋体"/>
          <w:kern w:val="1"/>
          <w:sz w:val="24"/>
        </w:rPr>
      </w:pPr>
      <w:r>
        <w:rPr>
          <w:rFonts w:hint="eastAsia" w:ascii="宋体" w:hAnsi="宋体" w:cs="宋体"/>
          <w:kern w:val="1"/>
          <w:sz w:val="24"/>
        </w:rPr>
        <w:t>19.1.2投标报价对招标人有利；</w:t>
      </w:r>
    </w:p>
    <w:p>
      <w:pPr>
        <w:pStyle w:val="75"/>
        <w:spacing w:line="440" w:lineRule="atLeast"/>
        <w:ind w:firstLine="480"/>
        <w:rPr>
          <w:rFonts w:ascii="宋体" w:hAnsi="宋体" w:cs="宋体"/>
          <w:kern w:val="1"/>
          <w:sz w:val="24"/>
        </w:rPr>
      </w:pPr>
      <w:r>
        <w:rPr>
          <w:rFonts w:hint="eastAsia" w:ascii="宋体" w:hAnsi="宋体" w:cs="宋体"/>
          <w:kern w:val="1"/>
          <w:sz w:val="24"/>
        </w:rPr>
        <w:t>19.1.3综合评比后的最优投标人；</w:t>
      </w:r>
    </w:p>
    <w:p>
      <w:pPr>
        <w:pStyle w:val="75"/>
        <w:spacing w:line="440" w:lineRule="atLeast"/>
        <w:ind w:firstLine="480"/>
        <w:rPr>
          <w:rFonts w:ascii="宋体" w:hAnsi="宋体" w:cs="宋体"/>
          <w:kern w:val="1"/>
          <w:sz w:val="24"/>
        </w:rPr>
      </w:pPr>
      <w:r>
        <w:rPr>
          <w:rFonts w:hint="eastAsia" w:ascii="宋体" w:hAnsi="宋体" w:cs="宋体"/>
          <w:kern w:val="1"/>
          <w:sz w:val="24"/>
        </w:rPr>
        <w:t>19.1.4招标人不保证投标报价最低的投标人中标，也没有义务对未中标的投标人做任何解释和说明。</w:t>
      </w:r>
    </w:p>
    <w:p>
      <w:pPr>
        <w:pStyle w:val="6"/>
        <w:bidi w:val="0"/>
      </w:pPr>
      <w:r>
        <w:rPr>
          <w:rFonts w:hint="eastAsia"/>
        </w:rPr>
        <w:t>20.</w:t>
      </w:r>
      <w:r>
        <w:t>中标通知</w:t>
      </w:r>
    </w:p>
    <w:p>
      <w:pPr>
        <w:pStyle w:val="75"/>
        <w:spacing w:line="440" w:lineRule="atLeast"/>
        <w:ind w:firstLine="480"/>
        <w:rPr>
          <w:rFonts w:ascii="宋体" w:hAnsi="宋体" w:cs="宋体"/>
          <w:kern w:val="1"/>
          <w:sz w:val="24"/>
        </w:rPr>
      </w:pPr>
      <w:r>
        <w:rPr>
          <w:rFonts w:hint="eastAsia" w:ascii="宋体" w:hAnsi="宋体" w:cs="宋体"/>
          <w:kern w:val="1"/>
          <w:sz w:val="24"/>
        </w:rPr>
        <w:t>20.1在招标文件规定的有效期内或延长后的投标文件有效期内，招标人将以邮件或书面形式向中标人发出中标通知，确认接受其中标。中标通知书为合同的组成部分。</w:t>
      </w:r>
    </w:p>
    <w:p>
      <w:pPr>
        <w:pStyle w:val="75"/>
        <w:spacing w:line="440" w:lineRule="atLeast"/>
        <w:ind w:firstLine="480"/>
        <w:rPr>
          <w:rFonts w:ascii="宋体" w:hAnsi="宋体" w:cs="宋体"/>
          <w:kern w:val="1"/>
          <w:sz w:val="24"/>
        </w:rPr>
      </w:pPr>
      <w:r>
        <w:rPr>
          <w:rFonts w:hint="eastAsia" w:ascii="宋体" w:hAnsi="宋体" w:cs="宋体"/>
          <w:kern w:val="1"/>
          <w:sz w:val="24"/>
        </w:rPr>
        <w:t>20.2招标人在向中标人发出通知的同时，亦将中标结果通知所有未中标的投标人。</w:t>
      </w:r>
    </w:p>
    <w:p>
      <w:pPr>
        <w:pStyle w:val="6"/>
        <w:bidi w:val="0"/>
      </w:pPr>
      <w:r>
        <w:rPr>
          <w:rFonts w:hint="eastAsia"/>
        </w:rPr>
        <w:t>21.</w:t>
      </w:r>
      <w:r>
        <w:t>签订合同</w:t>
      </w:r>
    </w:p>
    <w:p>
      <w:pPr>
        <w:pStyle w:val="75"/>
        <w:spacing w:line="440" w:lineRule="atLeast"/>
        <w:ind w:firstLine="480"/>
        <w:rPr>
          <w:rFonts w:ascii="宋体" w:hAnsi="宋体" w:cs="宋体"/>
          <w:kern w:val="1"/>
          <w:sz w:val="24"/>
        </w:rPr>
      </w:pPr>
      <w:r>
        <w:rPr>
          <w:rFonts w:hint="eastAsia" w:ascii="宋体" w:hAnsi="宋体" w:cs="宋体"/>
          <w:kern w:val="1"/>
          <w:sz w:val="24"/>
        </w:rPr>
        <w:t>21.1中标人应在收到中标通知书后的2天内，招标人将把合同授予其投标文件在实质上响应招标文件要求和按本须知规定评选出的中标人。投标文件将作为合同组成部分，确定为中标的投标人必须具有实施本合同的能力和资源。</w:t>
      </w:r>
    </w:p>
    <w:p>
      <w:pPr>
        <w:pStyle w:val="75"/>
        <w:spacing w:line="440" w:lineRule="atLeast"/>
        <w:ind w:firstLine="480"/>
        <w:rPr>
          <w:rFonts w:ascii="宋体" w:hAnsi="宋体" w:cs="宋体"/>
          <w:kern w:val="1"/>
          <w:sz w:val="24"/>
        </w:rPr>
      </w:pPr>
      <w:r>
        <w:rPr>
          <w:rFonts w:hint="eastAsia" w:ascii="宋体" w:hAnsi="宋体" w:cs="宋体"/>
          <w:kern w:val="1"/>
          <w:sz w:val="24"/>
        </w:rPr>
        <w:t>21.2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pPr>
        <w:pStyle w:val="75"/>
        <w:spacing w:line="440" w:lineRule="atLeast"/>
        <w:ind w:firstLine="480"/>
        <w:rPr>
          <w:rFonts w:hint="eastAsia" w:ascii="宋体" w:hAnsi="宋体" w:cs="宋体"/>
          <w:kern w:val="1"/>
          <w:sz w:val="24"/>
        </w:rPr>
      </w:pPr>
      <w:r>
        <w:rPr>
          <w:rFonts w:hint="eastAsia" w:ascii="宋体" w:hAnsi="宋体" w:cs="宋体"/>
          <w:kern w:val="1"/>
          <w:sz w:val="24"/>
        </w:rPr>
        <w:t>21.3招标人有权对中标各标段物资的规格、数量、型号进行调整，并按中标单价及实际供货数量结算价款。</w:t>
      </w:r>
    </w:p>
    <w:p>
      <w:pPr>
        <w:rPr>
          <w:rFonts w:hint="eastAsia" w:ascii="宋体" w:hAnsi="宋体" w:cs="宋体"/>
          <w:kern w:val="1"/>
          <w:sz w:val="24"/>
        </w:rPr>
      </w:pPr>
      <w:r>
        <w:rPr>
          <w:rFonts w:hint="eastAsia" w:ascii="宋体" w:hAnsi="宋体" w:cs="宋体"/>
          <w:kern w:val="1"/>
          <w:sz w:val="24"/>
        </w:rPr>
        <w:br w:type="page"/>
      </w:r>
    </w:p>
    <w:p>
      <w:pPr>
        <w:pStyle w:val="4"/>
        <w:bidi w:val="0"/>
      </w:pPr>
      <w:bookmarkStart w:id="42" w:name="_Toc459219384"/>
      <w:bookmarkStart w:id="43" w:name="_Toc459843304"/>
      <w:bookmarkStart w:id="44" w:name="_Toc24883"/>
      <w:r>
        <w:rPr>
          <w:rFonts w:hint="eastAsia"/>
        </w:rPr>
        <w:t xml:space="preserve">第二部分 </w:t>
      </w:r>
      <w:bookmarkEnd w:id="42"/>
      <w:bookmarkEnd w:id="43"/>
      <w:r>
        <w:rPr>
          <w:rFonts w:hint="eastAsia"/>
        </w:rPr>
        <w:t>技术要求</w:t>
      </w:r>
      <w:bookmarkEnd w:id="44"/>
    </w:p>
    <w:p>
      <w:pPr>
        <w:bidi w:val="0"/>
        <w:spacing w:line="360" w:lineRule="auto"/>
        <w:outlineLvl w:val="1"/>
        <w:rPr>
          <w:rFonts w:hint="eastAsia"/>
          <w:b/>
          <w:bCs/>
          <w:sz w:val="28"/>
          <w:szCs w:val="36"/>
        </w:rPr>
      </w:pPr>
      <w:bookmarkStart w:id="45" w:name="_Toc23327"/>
      <w:bookmarkStart w:id="46" w:name="_Toc28077_WPSOffice_Level2"/>
      <w:r>
        <w:rPr>
          <w:rFonts w:hint="eastAsia"/>
          <w:b/>
          <w:bCs/>
          <w:sz w:val="28"/>
          <w:szCs w:val="36"/>
          <w:lang w:val="en-US" w:eastAsia="zh-CN"/>
        </w:rPr>
        <w:t>一、第一标段材料</w:t>
      </w:r>
      <w:r>
        <w:rPr>
          <w:rFonts w:hint="eastAsia"/>
          <w:b/>
          <w:bCs/>
          <w:sz w:val="28"/>
          <w:szCs w:val="36"/>
        </w:rPr>
        <w:t>技术要求</w:t>
      </w:r>
      <w:bookmarkEnd w:id="45"/>
      <w:bookmarkEnd w:id="46"/>
    </w:p>
    <w:p>
      <w:pPr>
        <w:bidi w:val="0"/>
        <w:rPr>
          <w:rFonts w:hint="eastAsia"/>
          <w:sz w:val="24"/>
          <w:szCs w:val="32"/>
          <w:lang w:val="en-US" w:eastAsia="zh-CN"/>
        </w:rPr>
      </w:pPr>
      <w:r>
        <w:rPr>
          <w:rFonts w:hint="eastAsia"/>
          <w:sz w:val="24"/>
          <w:szCs w:val="32"/>
          <w:lang w:val="en-US" w:eastAsia="zh-CN"/>
        </w:rPr>
        <w:t>PCP预应力钢筋混凝土管：完全符合《GB 5696-2006》要求</w:t>
      </w:r>
    </w:p>
    <w:p>
      <w:pPr>
        <w:pStyle w:val="2"/>
        <w:rPr>
          <w:rFonts w:hint="eastAsia"/>
          <w:lang w:val="en-US" w:eastAsia="zh-CN"/>
        </w:rPr>
      </w:pPr>
    </w:p>
    <w:p>
      <w:pPr>
        <w:numPr>
          <w:ilvl w:val="0"/>
          <w:numId w:val="0"/>
        </w:numPr>
        <w:bidi w:val="0"/>
        <w:spacing w:line="360" w:lineRule="auto"/>
        <w:outlineLvl w:val="1"/>
        <w:rPr>
          <w:rFonts w:hint="eastAsia"/>
          <w:b/>
          <w:bCs/>
          <w:sz w:val="28"/>
          <w:szCs w:val="36"/>
        </w:rPr>
      </w:pPr>
      <w:bookmarkStart w:id="47" w:name="_Toc1538"/>
      <w:r>
        <w:rPr>
          <w:rFonts w:hint="eastAsia"/>
          <w:b/>
          <w:bCs/>
          <w:sz w:val="28"/>
          <w:szCs w:val="36"/>
          <w:lang w:val="en-US" w:eastAsia="zh-CN"/>
        </w:rPr>
        <w:t>二、第二标段材料</w:t>
      </w:r>
      <w:r>
        <w:rPr>
          <w:rFonts w:hint="eastAsia"/>
          <w:b/>
          <w:bCs/>
          <w:sz w:val="28"/>
          <w:szCs w:val="36"/>
        </w:rPr>
        <w:t>技术要求</w:t>
      </w:r>
      <w:bookmarkEnd w:id="47"/>
    </w:p>
    <w:p>
      <w:pPr>
        <w:pStyle w:val="2"/>
        <w:numPr>
          <w:ilvl w:val="0"/>
          <w:numId w:val="0"/>
        </w:numPr>
        <w:rPr>
          <w:rFonts w:hint="eastAsia"/>
          <w:sz w:val="24"/>
          <w:szCs w:val="24"/>
          <w:lang w:val="en-US" w:eastAsia="zh-CN"/>
        </w:rPr>
      </w:pPr>
      <w:r>
        <w:rPr>
          <w:rFonts w:hint="eastAsia"/>
          <w:sz w:val="24"/>
          <w:szCs w:val="24"/>
          <w:lang w:val="en-US" w:eastAsia="zh-CN"/>
        </w:rPr>
        <w:t>钢丝网骨架PE复合管材及管件：完全符合《GB/T32439-2015》要求</w:t>
      </w:r>
    </w:p>
    <w:p>
      <w:pPr>
        <w:rPr>
          <w:rFonts w:hint="eastAsia"/>
          <w:sz w:val="24"/>
          <w:szCs w:val="24"/>
          <w:lang w:val="en-US" w:eastAsia="zh-CN"/>
        </w:rPr>
      </w:pPr>
      <w:r>
        <w:rPr>
          <w:rFonts w:hint="eastAsia"/>
          <w:sz w:val="24"/>
          <w:szCs w:val="24"/>
          <w:lang w:val="en-US" w:eastAsia="zh-CN"/>
        </w:rPr>
        <w:br w:type="page"/>
      </w:r>
    </w:p>
    <w:p>
      <w:pPr>
        <w:pStyle w:val="4"/>
        <w:bidi w:val="0"/>
        <w:jc w:val="center"/>
      </w:pPr>
      <w:bookmarkStart w:id="48" w:name="_Toc21393"/>
      <w:bookmarkStart w:id="49" w:name="_Toc459219385"/>
      <w:bookmarkStart w:id="50" w:name="_Toc459843305"/>
      <w:r>
        <w:t>第三部分  投标文件格式</w:t>
      </w:r>
      <w:bookmarkEnd w:id="48"/>
      <w:bookmarkEnd w:id="49"/>
      <w:bookmarkEnd w:id="50"/>
    </w:p>
    <w:p>
      <w:pPr>
        <w:pStyle w:val="8"/>
        <w:overflowPunct w:val="0"/>
        <w:ind w:firstLine="0"/>
        <w:rPr>
          <w:bCs/>
          <w:sz w:val="21"/>
        </w:rPr>
      </w:pPr>
    </w:p>
    <w:p>
      <w:pPr>
        <w:pStyle w:val="5"/>
        <w:bidi w:val="0"/>
        <w:jc w:val="center"/>
      </w:pPr>
      <w:bookmarkStart w:id="51" w:name="_Toc30638"/>
      <w:r>
        <w:rPr>
          <w:rFonts w:hint="eastAsia"/>
        </w:rPr>
        <w:t>一、投标函</w:t>
      </w:r>
      <w:bookmarkEnd w:id="51"/>
    </w:p>
    <w:p>
      <w:pPr>
        <w:widowControl/>
        <w:spacing w:line="400" w:lineRule="exact"/>
        <w:rPr>
          <w:rFonts w:ascii="宋体" w:hAnsi="宋体" w:cs="宋体"/>
          <w:kern w:val="1"/>
          <w:sz w:val="24"/>
        </w:rPr>
      </w:pPr>
      <w:r>
        <w:rPr>
          <w:rFonts w:ascii="宋体" w:hAnsi="宋体" w:cs="宋体"/>
          <w:kern w:val="1"/>
          <w:sz w:val="24"/>
          <w:u w:val="single"/>
        </w:rPr>
        <w:t xml:space="preserve"> （ 招 标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 xml:space="preserve">（投标人全称）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    </w:t>
      </w:r>
      <w:r>
        <w:rPr>
          <w:rFonts w:ascii="宋体" w:hAnsi="宋体" w:cs="宋体"/>
          <w:kern w:val="1"/>
          <w:sz w:val="24"/>
        </w:rPr>
        <w:t>招标活动，并对</w:t>
      </w:r>
      <w:r>
        <w:rPr>
          <w:rFonts w:ascii="宋体" w:hAnsi="宋体" w:cs="宋体"/>
          <w:kern w:val="1"/>
          <w:sz w:val="24"/>
          <w:u w:val="single"/>
        </w:rPr>
        <w:t xml:space="preserve">            </w:t>
      </w:r>
      <w:r>
        <w:rPr>
          <w:rFonts w:ascii="宋体" w:hAnsi="宋体" w:cs="宋体"/>
          <w:kern w:val="1"/>
          <w:sz w:val="24"/>
        </w:rPr>
        <w:t>进行投标。</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全部招标文件，我</w:t>
      </w:r>
      <w:r>
        <w:rPr>
          <w:rFonts w:hint="eastAsia" w:ascii="宋体" w:hAnsi="宋体" w:cs="宋体"/>
          <w:kern w:val="1"/>
          <w:sz w:val="24"/>
        </w:rPr>
        <w:t>公司</w:t>
      </w:r>
      <w:r>
        <w:rPr>
          <w:rFonts w:ascii="宋体" w:hAnsi="宋体" w:cs="宋体"/>
          <w:kern w:val="1"/>
          <w:sz w:val="24"/>
        </w:rPr>
        <w:t>认为有能力也完全同意承担招标文件中所规定的投标人的全部责任和义务。</w:t>
      </w:r>
    </w:p>
    <w:p>
      <w:pPr>
        <w:widowControl/>
        <w:spacing w:line="400" w:lineRule="exact"/>
        <w:rPr>
          <w:rFonts w:ascii="宋体" w:hAnsi="宋体" w:cs="宋体"/>
          <w:kern w:val="1"/>
          <w:sz w:val="24"/>
        </w:rPr>
      </w:pPr>
      <w:r>
        <w:rPr>
          <w:rFonts w:ascii="宋体" w:hAnsi="宋体" w:cs="宋体"/>
          <w:kern w:val="1"/>
          <w:sz w:val="24"/>
        </w:rPr>
        <w:t>项目及标段：</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的招标文件所要求时间、质量和其它一切要求提供合格的产品。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同意遵守招标文件规定，本投标书的有效期为开标后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3</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要求的有关本次投标的其它任何资料。</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 xml:space="preserve"> </w:t>
      </w:r>
      <w:r>
        <w:rPr>
          <w:rFonts w:ascii="宋体" w:hAnsi="宋体" w:cs="宋体"/>
          <w:kern w:val="1"/>
          <w:sz w:val="24"/>
        </w:rPr>
        <w:t xml:space="preserve">  </w:t>
      </w:r>
      <w:r>
        <w:rPr>
          <w:rFonts w:hint="eastAsia" w:ascii="宋体" w:hAnsi="宋体" w:cs="宋体"/>
          <w:kern w:val="1"/>
          <w:sz w:val="24"/>
        </w:rPr>
        <w:t>4</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理解，报价最低不是中标的唯一条件，无论中标与否，我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、无论中标与否，对于评标结果均不向招标人提出任何异议，也不要求任何解释。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6、我公司愿意按照贵公司招标文件的要求提供一正三副全部投标文件，并保证全部投标文件内容真实有效，若有虚假，我公司愿意承担与此相关的一切责任；</w:t>
      </w:r>
    </w:p>
    <w:p>
      <w:pPr>
        <w:pStyle w:val="76"/>
        <w:spacing w:line="360" w:lineRule="exact"/>
        <w:ind w:firstLine="480" w:firstLineChars="200"/>
        <w:rPr>
          <w:rFonts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rPr>
          <w:rFonts w:ascii="宋体" w:hAnsi="宋体" w:cs="宋体"/>
          <w:kern w:val="1"/>
          <w:sz w:val="24"/>
        </w:rPr>
      </w:pPr>
      <w:r>
        <w:rPr>
          <w:rFonts w:ascii="宋体" w:hAnsi="宋体" w:cs="宋体"/>
          <w:kern w:val="1"/>
          <w:sz w:val="24"/>
        </w:rPr>
        <w:t xml:space="preserve"> 投标人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年   月   日</w:t>
      </w:r>
    </w:p>
    <w:p>
      <w:pPr>
        <w:pStyle w:val="8"/>
        <w:overflowPunct w:val="0"/>
        <w:ind w:firstLine="0"/>
        <w:rPr>
          <w:bCs/>
          <w:sz w:val="21"/>
        </w:rPr>
      </w:pPr>
    </w:p>
    <w:p>
      <w:pPr>
        <w:widowControl/>
        <w:spacing w:line="520" w:lineRule="exact"/>
        <w:jc w:val="center"/>
        <w:rPr>
          <w:b/>
          <w:kern w:val="1"/>
          <w:sz w:val="28"/>
          <w:szCs w:val="21"/>
        </w:rPr>
      </w:pPr>
    </w:p>
    <w:p>
      <w:pPr>
        <w:pStyle w:val="2"/>
      </w:pPr>
    </w:p>
    <w:p>
      <w:pPr>
        <w:widowControl/>
        <w:spacing w:line="400" w:lineRule="exact"/>
        <w:jc w:val="center"/>
        <w:rPr>
          <w:b/>
          <w:kern w:val="1"/>
          <w:sz w:val="28"/>
          <w:szCs w:val="21"/>
        </w:rPr>
      </w:pPr>
    </w:p>
    <w:p>
      <w:pPr>
        <w:pStyle w:val="5"/>
        <w:bidi w:val="0"/>
        <w:jc w:val="center"/>
      </w:pPr>
      <w:bookmarkStart w:id="52" w:name="_Toc16041"/>
      <w:r>
        <w:rPr>
          <w:rFonts w:hint="eastAsia"/>
        </w:rPr>
        <w:t>二、法定代表人授权委托书</w:t>
      </w:r>
      <w:bookmarkEnd w:id="52"/>
    </w:p>
    <w:p>
      <w:pPr>
        <w:widowControl/>
        <w:spacing w:line="400" w:lineRule="exact"/>
        <w:rPr>
          <w:kern w:val="1"/>
          <w:sz w:val="24"/>
        </w:rPr>
      </w:pPr>
      <w:r>
        <w:rPr>
          <w:kern w:val="1"/>
          <w:szCs w:val="18"/>
        </w:rPr>
        <w:t xml:space="preserve"> </w:t>
      </w:r>
      <w:r>
        <w:rPr>
          <w:kern w:val="1"/>
          <w:sz w:val="24"/>
        </w:rPr>
        <w:t xml:space="preserve">  </w:t>
      </w:r>
      <w:r>
        <w:rPr>
          <w:kern w:val="1"/>
          <w:sz w:val="24"/>
          <w:u w:val="single"/>
        </w:rPr>
        <w:t xml:space="preserve">  （招标人）     </w:t>
      </w:r>
      <w:r>
        <w:rPr>
          <w:kern w:val="1"/>
          <w:sz w:val="24"/>
        </w:rPr>
        <w:t>：</w:t>
      </w:r>
    </w:p>
    <w:p>
      <w:pPr>
        <w:widowControl/>
        <w:spacing w:line="400" w:lineRule="exact"/>
        <w:rPr>
          <w:kern w:val="1"/>
          <w:sz w:val="24"/>
        </w:rPr>
      </w:pPr>
      <w:r>
        <w:rPr>
          <w:kern w:val="1"/>
          <w:sz w:val="24"/>
        </w:rPr>
        <w:t xml:space="preserve">    </w:t>
      </w:r>
    </w:p>
    <w:p>
      <w:pPr>
        <w:widowControl/>
        <w:spacing w:line="400" w:lineRule="exact"/>
        <w:rPr>
          <w:kern w:val="1"/>
          <w:sz w:val="24"/>
        </w:rPr>
      </w:pPr>
      <w:r>
        <w:rPr>
          <w:kern w:val="1"/>
          <w:sz w:val="24"/>
        </w:rPr>
        <w:t xml:space="preserve">   </w:t>
      </w:r>
      <w:r>
        <w:rPr>
          <w:kern w:val="1"/>
          <w:sz w:val="24"/>
          <w:u w:val="single"/>
        </w:rPr>
        <w:t xml:space="preserve">（投标人全称）   </w:t>
      </w:r>
      <w:r>
        <w:rPr>
          <w:kern w:val="1"/>
          <w:sz w:val="24"/>
        </w:rPr>
        <w:t xml:space="preserve"> 法定代表人</w:t>
      </w:r>
      <w:r>
        <w:rPr>
          <w:kern w:val="1"/>
          <w:sz w:val="24"/>
          <w:u w:val="single"/>
        </w:rPr>
        <w:t xml:space="preserve">           </w:t>
      </w:r>
      <w:r>
        <w:rPr>
          <w:kern w:val="1"/>
          <w:sz w:val="24"/>
        </w:rPr>
        <w:t>授权</w:t>
      </w:r>
      <w:r>
        <w:rPr>
          <w:rFonts w:hint="eastAsia"/>
          <w:kern w:val="1"/>
          <w:sz w:val="24"/>
        </w:rPr>
        <w:t xml:space="preserve"> </w:t>
      </w:r>
      <w:r>
        <w:rPr>
          <w:rFonts w:hint="eastAsia"/>
          <w:kern w:val="1"/>
          <w:sz w:val="24"/>
          <w:u w:val="single"/>
        </w:rPr>
        <w:t xml:space="preserve">       </w:t>
      </w:r>
      <w:r>
        <w:rPr>
          <w:kern w:val="1"/>
          <w:sz w:val="24"/>
        </w:rPr>
        <w:t>（被委托人姓名、职务）为全权代表，参加</w:t>
      </w:r>
      <w:r>
        <w:rPr>
          <w:rFonts w:hint="eastAsia"/>
          <w:kern w:val="1"/>
          <w:sz w:val="24"/>
        </w:rPr>
        <w:t>贵单位</w:t>
      </w:r>
      <w:r>
        <w:rPr>
          <w:kern w:val="1"/>
          <w:sz w:val="24"/>
        </w:rPr>
        <w:t>组织的</w:t>
      </w:r>
      <w:r>
        <w:rPr>
          <w:kern w:val="1"/>
          <w:sz w:val="24"/>
          <w:u w:val="single"/>
        </w:rPr>
        <w:t xml:space="preserve">     （项目名称）          </w:t>
      </w:r>
      <w:r>
        <w:rPr>
          <w:kern w:val="1"/>
          <w:sz w:val="24"/>
        </w:rPr>
        <w:t>招标采购活动，并代表我单位签署投标文件、进行谈判、签订合同和处理与之有关的一切事务，其签名真迹如本授权委托书末尾所示，特此证明。</w:t>
      </w:r>
    </w:p>
    <w:p>
      <w:pPr>
        <w:widowControl/>
        <w:spacing w:line="400" w:lineRule="exact"/>
        <w:rPr>
          <w:kern w:val="1"/>
          <w:sz w:val="24"/>
        </w:rPr>
      </w:pPr>
    </w:p>
    <w:p>
      <w:pPr>
        <w:widowControl/>
        <w:spacing w:line="400" w:lineRule="exact"/>
        <w:rPr>
          <w:kern w:val="1"/>
          <w:sz w:val="24"/>
        </w:rPr>
      </w:pPr>
      <w:r>
        <w:rPr>
          <w:kern w:val="1"/>
          <w:sz w:val="24"/>
        </w:rPr>
        <w:t xml:space="preserve">    被授权代表姓名：</w:t>
      </w:r>
      <w:r>
        <w:rPr>
          <w:rFonts w:hint="eastAsia"/>
          <w:kern w:val="1"/>
          <w:sz w:val="24"/>
          <w:u w:val="single"/>
        </w:rPr>
        <w:t xml:space="preserve">                       </w:t>
      </w:r>
      <w:r>
        <w:rPr>
          <w:rFonts w:hint="eastAsia"/>
          <w:kern w:val="1"/>
          <w:sz w:val="24"/>
        </w:rPr>
        <w:t>；</w:t>
      </w:r>
      <w:r>
        <w:rPr>
          <w:kern w:val="1"/>
          <w:sz w:val="24"/>
          <w:u w:val="single"/>
        </w:rPr>
        <w:t xml:space="preserve">                    </w:t>
      </w:r>
      <w:r>
        <w:rPr>
          <w:rFonts w:hint="eastAsia"/>
          <w:kern w:val="1"/>
          <w:sz w:val="24"/>
          <w:u w:val="single"/>
        </w:rPr>
        <w:t xml:space="preserve">                                </w:t>
      </w:r>
      <w:r>
        <w:rPr>
          <w:rFonts w:hint="eastAsia"/>
          <w:kern w:val="1"/>
          <w:sz w:val="24"/>
        </w:rPr>
        <w:t xml:space="preserve">    </w:t>
      </w:r>
    </w:p>
    <w:p>
      <w:pPr>
        <w:widowControl/>
        <w:spacing w:line="400" w:lineRule="exact"/>
        <w:rPr>
          <w:kern w:val="1"/>
          <w:sz w:val="24"/>
        </w:rPr>
      </w:pPr>
      <w:r>
        <w:rPr>
          <w:kern w:val="1"/>
          <w:sz w:val="24"/>
        </w:rPr>
        <w:t xml:space="preserve">            职务：</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详细通讯地址：</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固定电话：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移动电话：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邮政编码：</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投标单位全称：</w:t>
      </w:r>
      <w:r>
        <w:rPr>
          <w:rFonts w:hint="eastAsia"/>
          <w:kern w:val="1"/>
          <w:sz w:val="24"/>
        </w:rPr>
        <w:t xml:space="preserve"> </w:t>
      </w:r>
      <w:r>
        <w:rPr>
          <w:rFonts w:hint="eastAsia"/>
          <w:kern w:val="1"/>
          <w:sz w:val="24"/>
          <w:u w:val="single"/>
        </w:rPr>
        <w:t xml:space="preserve">                        </w:t>
      </w:r>
      <w:r>
        <w:rPr>
          <w:kern w:val="1"/>
          <w:sz w:val="24"/>
        </w:rPr>
        <w:t>（</w:t>
      </w:r>
      <w:r>
        <w:rPr>
          <w:rFonts w:hint="eastAsia"/>
          <w:kern w:val="1"/>
          <w:sz w:val="24"/>
        </w:rPr>
        <w:t>盖章</w:t>
      </w:r>
      <w:r>
        <w:rPr>
          <w:kern w:val="1"/>
          <w:sz w:val="24"/>
        </w:rPr>
        <w:t>）</w:t>
      </w:r>
      <w:r>
        <w:rPr>
          <w:rFonts w:hint="eastAsia"/>
          <w:kern w:val="1"/>
          <w:sz w:val="24"/>
        </w:rPr>
        <w:t>；</w:t>
      </w:r>
    </w:p>
    <w:p>
      <w:pPr>
        <w:widowControl/>
        <w:spacing w:line="400" w:lineRule="exact"/>
        <w:rPr>
          <w:kern w:val="1"/>
          <w:sz w:val="24"/>
        </w:rPr>
      </w:pPr>
      <w:r>
        <w:rPr>
          <w:kern w:val="1"/>
          <w:sz w:val="24"/>
        </w:rPr>
        <w:t xml:space="preserve">    法人代表签字：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被委托人签字：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w:t>
      </w:r>
    </w:p>
    <w:p>
      <w:pPr>
        <w:widowControl/>
        <w:spacing w:line="400" w:lineRule="exact"/>
        <w:rPr>
          <w:kern w:val="1"/>
          <w:sz w:val="24"/>
        </w:rPr>
      </w:pPr>
    </w:p>
    <w:p>
      <w:pPr>
        <w:widowControl/>
        <w:spacing w:line="400" w:lineRule="exact"/>
        <w:ind w:firstLine="6840" w:firstLineChars="2850"/>
        <w:rPr>
          <w:kern w:val="1"/>
          <w:sz w:val="24"/>
        </w:rPr>
      </w:pPr>
      <w:r>
        <w:rPr>
          <w:kern w:val="1"/>
          <w:sz w:val="24"/>
        </w:rPr>
        <w:t xml:space="preserve"> 年   月   日</w:t>
      </w:r>
    </w:p>
    <w:p>
      <w:pPr>
        <w:widowControl/>
        <w:spacing w:line="400" w:lineRule="exact"/>
        <w:rPr>
          <w:kern w:val="1"/>
          <w:sz w:val="18"/>
          <w:szCs w:val="18"/>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rPr>
          <w:b/>
          <w:kern w:val="1"/>
          <w:sz w:val="28"/>
          <w:szCs w:val="21"/>
        </w:rPr>
      </w:pPr>
      <w:r>
        <w:rPr>
          <w:b/>
          <w:kern w:val="1"/>
          <w:sz w:val="28"/>
          <w:szCs w:val="21"/>
        </w:rPr>
        <w:br w:type="page"/>
      </w:r>
    </w:p>
    <w:p>
      <w:pPr>
        <w:widowControl/>
        <w:spacing w:line="400" w:lineRule="exact"/>
        <w:jc w:val="center"/>
        <w:outlineLvl w:val="1"/>
        <w:rPr>
          <w:b/>
          <w:kern w:val="1"/>
          <w:sz w:val="28"/>
          <w:szCs w:val="21"/>
        </w:rPr>
      </w:pPr>
      <w:bookmarkStart w:id="53" w:name="_Toc695"/>
      <w:r>
        <w:rPr>
          <w:rStyle w:val="526"/>
          <w:rFonts w:hint="eastAsia"/>
        </w:rPr>
        <w:t>三、法定代表人身份证明</w:t>
      </w:r>
      <w:bookmarkEnd w:id="53"/>
    </w:p>
    <w:p>
      <w:pPr>
        <w:widowControl/>
        <w:spacing w:line="400" w:lineRule="exact"/>
        <w:rPr>
          <w:kern w:val="1"/>
          <w:sz w:val="18"/>
          <w:szCs w:val="18"/>
        </w:rPr>
      </w:pPr>
    </w:p>
    <w:p>
      <w:pPr>
        <w:widowControl/>
        <w:spacing w:line="400" w:lineRule="exact"/>
        <w:rPr>
          <w:rFonts w:ascii="宋体" w:hAnsi="宋体" w:cs="宋体"/>
          <w:kern w:val="1"/>
          <w:sz w:val="24"/>
        </w:rPr>
      </w:pPr>
      <w:r>
        <w:t>投标人名称：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（投标人名称）的法定代表人。</w:t>
      </w:r>
    </w:p>
    <w:p>
      <w:pPr>
        <w:widowControl/>
        <w:spacing w:line="400" w:lineRule="exact"/>
        <w:rPr>
          <w:rFonts w:ascii="宋体" w:hAnsi="宋体" w:cs="宋体"/>
          <w:kern w:val="1"/>
          <w:sz w:val="24"/>
        </w:rPr>
      </w:pPr>
      <w:r>
        <w:rPr>
          <w:rFonts w:ascii="宋体" w:hAnsi="宋体" w:cs="宋体"/>
          <w:kern w:val="1"/>
          <w:sz w:val="24"/>
        </w:rPr>
        <w:t>特此证明。</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rPr>
        <w:t>投标人名称：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b/>
          <w:kern w:val="1"/>
          <w:sz w:val="28"/>
          <w:szCs w:val="21"/>
        </w:rPr>
      </w:pPr>
      <w:r>
        <w:rPr>
          <w:rFonts w:hint="eastAsia" w:ascii="宋体" w:hAnsi="宋体" w:cs="宋体"/>
          <w:sz w:val="24"/>
        </w:rPr>
        <w:t xml:space="preserve">      年    月     日</w:t>
      </w:r>
    </w:p>
    <w:p>
      <w:pPr>
        <w:widowControl/>
        <w:spacing w:line="400" w:lineRule="exact"/>
        <w:jc w:val="center"/>
        <w:rPr>
          <w:b/>
          <w:kern w:val="1"/>
          <w:sz w:val="28"/>
          <w:szCs w:val="21"/>
        </w:rPr>
      </w:pPr>
    </w:p>
    <w:p>
      <w:pPr>
        <w:rPr>
          <w:b/>
          <w:kern w:val="1"/>
          <w:sz w:val="28"/>
          <w:szCs w:val="21"/>
        </w:rPr>
      </w:pPr>
      <w:r>
        <w:rPr>
          <w:b/>
          <w:kern w:val="1"/>
          <w:sz w:val="28"/>
          <w:szCs w:val="21"/>
        </w:rPr>
        <w:br w:type="page"/>
      </w:r>
    </w:p>
    <w:p>
      <w:pPr>
        <w:pStyle w:val="2"/>
        <w:sectPr>
          <w:footerReference r:id="rId5" w:type="default"/>
          <w:pgSz w:w="11906" w:h="16838"/>
          <w:pgMar w:top="1418" w:right="1134" w:bottom="1702" w:left="1134" w:header="340" w:footer="720" w:gutter="170"/>
          <w:pgNumType w:fmt="decimal" w:start="1"/>
          <w:cols w:space="720" w:num="1"/>
          <w:docGrid w:linePitch="286" w:charSpace="0"/>
        </w:sectPr>
      </w:pPr>
    </w:p>
    <w:p>
      <w:pPr>
        <w:pStyle w:val="5"/>
        <w:bidi w:val="0"/>
        <w:jc w:val="center"/>
      </w:pPr>
      <w:bookmarkStart w:id="54" w:name="_Toc4796"/>
      <w:r>
        <w:rPr>
          <w:rFonts w:hint="eastAsia"/>
          <w:lang w:val="en-US" w:eastAsia="zh-CN"/>
        </w:rPr>
        <w:t>四</w:t>
      </w:r>
      <w:r>
        <w:rPr>
          <w:rFonts w:hint="eastAsia"/>
        </w:rPr>
        <w:t>、投标报价</w:t>
      </w:r>
      <w:r>
        <w:rPr>
          <w:rFonts w:hint="eastAsia"/>
          <w:lang w:val="en-US"/>
        </w:rPr>
        <w:t>表</w:t>
      </w:r>
      <w:bookmarkEnd w:id="54"/>
    </w:p>
    <w:tbl>
      <w:tblPr>
        <w:tblStyle w:val="47"/>
        <w:tblpPr w:leftFromText="180" w:rightFromText="180" w:vertAnchor="text" w:horzAnchor="page" w:tblpX="1297" w:tblpY="791"/>
        <w:tblOverlap w:val="never"/>
        <w:tblW w:w="9449"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528"/>
        <w:gridCol w:w="2283"/>
        <w:gridCol w:w="860"/>
        <w:gridCol w:w="1290"/>
        <w:gridCol w:w="895"/>
        <w:gridCol w:w="1095"/>
        <w:gridCol w:w="57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17" w:hRule="atLeast"/>
        </w:trPr>
        <w:tc>
          <w:tcPr>
            <w:tcW w:w="927" w:type="dxa"/>
            <w:vAlign w:val="center"/>
          </w:tcPr>
          <w:p>
            <w:pPr>
              <w:widowControl/>
              <w:jc w:val="center"/>
              <w:rPr>
                <w:rFonts w:ascii="宋体" w:hAnsi="宋体" w:cs="Arial"/>
                <w:sz w:val="20"/>
                <w:szCs w:val="20"/>
              </w:rPr>
            </w:pPr>
            <w:r>
              <w:rPr>
                <w:rFonts w:hint="eastAsia" w:ascii="宋体" w:hAnsi="宋体" w:cs="Arial"/>
                <w:sz w:val="20"/>
                <w:szCs w:val="20"/>
              </w:rPr>
              <w:t>序号</w:t>
            </w:r>
          </w:p>
        </w:tc>
        <w:tc>
          <w:tcPr>
            <w:tcW w:w="1528" w:type="dxa"/>
            <w:vAlign w:val="center"/>
          </w:tcPr>
          <w:p>
            <w:pPr>
              <w:widowControl/>
              <w:jc w:val="center"/>
              <w:rPr>
                <w:rFonts w:ascii="宋体" w:hAnsi="宋体" w:cs="Arial"/>
                <w:sz w:val="20"/>
                <w:szCs w:val="20"/>
              </w:rPr>
            </w:pPr>
            <w:r>
              <w:rPr>
                <w:rFonts w:hint="eastAsia" w:ascii="宋体" w:hAnsi="宋体" w:cs="Arial"/>
                <w:sz w:val="20"/>
                <w:szCs w:val="20"/>
                <w:lang w:val="en-US" w:eastAsia="zh-CN"/>
              </w:rPr>
              <w:t>材料</w:t>
            </w:r>
            <w:r>
              <w:rPr>
                <w:rFonts w:hint="eastAsia" w:ascii="宋体" w:hAnsi="宋体" w:cs="Arial"/>
                <w:sz w:val="20"/>
                <w:szCs w:val="20"/>
              </w:rPr>
              <w:t>名称</w:t>
            </w:r>
          </w:p>
        </w:tc>
        <w:tc>
          <w:tcPr>
            <w:tcW w:w="2283" w:type="dxa"/>
            <w:vAlign w:val="center"/>
          </w:tcPr>
          <w:p>
            <w:pPr>
              <w:widowControl/>
              <w:jc w:val="center"/>
              <w:rPr>
                <w:rFonts w:ascii="宋体" w:hAnsi="宋体" w:cs="Arial"/>
                <w:sz w:val="20"/>
                <w:szCs w:val="20"/>
              </w:rPr>
            </w:pPr>
            <w:r>
              <w:rPr>
                <w:rFonts w:hint="eastAsia" w:ascii="宋体" w:hAnsi="宋体" w:cs="Arial"/>
                <w:sz w:val="20"/>
                <w:szCs w:val="20"/>
              </w:rPr>
              <w:t>规格型号</w:t>
            </w:r>
          </w:p>
        </w:tc>
        <w:tc>
          <w:tcPr>
            <w:tcW w:w="860" w:type="dxa"/>
            <w:vAlign w:val="center"/>
          </w:tcPr>
          <w:p>
            <w:pPr>
              <w:widowControl/>
              <w:jc w:val="center"/>
            </w:pPr>
            <w:r>
              <w:rPr>
                <w:rFonts w:hint="eastAsia"/>
              </w:rPr>
              <w:t>单位</w:t>
            </w:r>
          </w:p>
        </w:tc>
        <w:tc>
          <w:tcPr>
            <w:tcW w:w="1290" w:type="dxa"/>
            <w:vAlign w:val="center"/>
          </w:tcPr>
          <w:p>
            <w:pPr>
              <w:widowControl/>
              <w:jc w:val="center"/>
              <w:rPr>
                <w:rFonts w:ascii="宋体" w:hAnsi="宋体" w:cs="Arial"/>
                <w:sz w:val="20"/>
                <w:szCs w:val="20"/>
              </w:rPr>
            </w:pPr>
            <w:r>
              <w:rPr>
                <w:rFonts w:hint="eastAsia" w:ascii="宋体" w:hAnsi="宋体" w:cs="Arial"/>
                <w:sz w:val="20"/>
                <w:szCs w:val="20"/>
              </w:rPr>
              <w:t>数量</w:t>
            </w:r>
          </w:p>
        </w:tc>
        <w:tc>
          <w:tcPr>
            <w:tcW w:w="895" w:type="dxa"/>
            <w:vAlign w:val="center"/>
          </w:tcPr>
          <w:p>
            <w:pPr>
              <w:widowControl/>
              <w:jc w:val="center"/>
              <w:rPr>
                <w:rFonts w:ascii="宋体" w:hAnsi="宋体" w:cs="Arial"/>
                <w:sz w:val="20"/>
                <w:szCs w:val="20"/>
              </w:rPr>
            </w:pPr>
            <w:r>
              <w:rPr>
                <w:rFonts w:hint="eastAsia" w:ascii="宋体" w:hAnsi="宋体" w:cs="Arial"/>
                <w:sz w:val="20"/>
                <w:szCs w:val="20"/>
              </w:rPr>
              <w:t>单价（元）</w:t>
            </w:r>
          </w:p>
        </w:tc>
        <w:tc>
          <w:tcPr>
            <w:tcW w:w="1095" w:type="dxa"/>
            <w:vAlign w:val="center"/>
          </w:tcPr>
          <w:p>
            <w:pPr>
              <w:widowControl/>
              <w:jc w:val="center"/>
              <w:rPr>
                <w:rFonts w:ascii="宋体" w:hAnsi="宋体" w:cs="Arial"/>
                <w:sz w:val="20"/>
                <w:szCs w:val="20"/>
              </w:rPr>
            </w:pPr>
            <w:r>
              <w:rPr>
                <w:rFonts w:hint="eastAsia" w:ascii="宋体" w:hAnsi="宋体" w:cs="Arial"/>
                <w:sz w:val="20"/>
                <w:szCs w:val="20"/>
              </w:rPr>
              <w:t>总价（元）</w:t>
            </w:r>
          </w:p>
        </w:tc>
        <w:tc>
          <w:tcPr>
            <w:tcW w:w="571" w:type="dxa"/>
            <w:vAlign w:val="center"/>
          </w:tcPr>
          <w:p>
            <w:pPr>
              <w:widowControl/>
              <w:jc w:val="center"/>
              <w:rPr>
                <w:rFonts w:ascii="宋体" w:hAnsi="宋体" w:cs="Arial"/>
                <w:sz w:val="20"/>
                <w:szCs w:val="20"/>
              </w:rPr>
            </w:pPr>
            <w:r>
              <w:rPr>
                <w:rFonts w:hint="eastAsia" w:ascii="宋体" w:hAnsi="宋体" w:cs="Arial"/>
                <w:sz w:val="20"/>
                <w:szCs w:val="20"/>
              </w:rPr>
              <w:t>备注</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927" w:type="dxa"/>
            <w:vAlign w:val="center"/>
          </w:tcPr>
          <w:p>
            <w:pPr>
              <w:widowControl/>
              <w:jc w:val="center"/>
              <w:rPr>
                <w:rFonts w:hint="default" w:ascii="宋体" w:hAnsi="宋体" w:eastAsia="宋体" w:cs="Arial"/>
                <w:sz w:val="20"/>
                <w:szCs w:val="20"/>
                <w:lang w:val="en-US" w:eastAsia="zh-CN"/>
              </w:rPr>
            </w:pPr>
          </w:p>
        </w:tc>
        <w:tc>
          <w:tcPr>
            <w:tcW w:w="1528" w:type="dxa"/>
            <w:vAlign w:val="center"/>
          </w:tcPr>
          <w:p>
            <w:pPr>
              <w:widowControl/>
              <w:wordWrap w:val="0"/>
              <w:snapToGrid w:val="0"/>
              <w:spacing w:line="240" w:lineRule="exact"/>
              <w:jc w:val="center"/>
              <w:rPr>
                <w:rFonts w:ascii="宋体" w:hAnsi="宋体" w:cs="Arial"/>
                <w:sz w:val="20"/>
                <w:szCs w:val="20"/>
              </w:rPr>
            </w:pPr>
          </w:p>
        </w:tc>
        <w:tc>
          <w:tcPr>
            <w:tcW w:w="2283" w:type="dxa"/>
            <w:vAlign w:val="center"/>
          </w:tcPr>
          <w:p>
            <w:pPr>
              <w:widowControl/>
              <w:wordWrap w:val="0"/>
              <w:snapToGrid w:val="0"/>
              <w:spacing w:line="240" w:lineRule="exact"/>
              <w:jc w:val="center"/>
              <w:rPr>
                <w:rFonts w:ascii="宋体" w:hAnsi="宋体" w:cs="Arial"/>
                <w:sz w:val="20"/>
                <w:szCs w:val="20"/>
              </w:rPr>
            </w:pPr>
          </w:p>
        </w:tc>
        <w:tc>
          <w:tcPr>
            <w:tcW w:w="860" w:type="dxa"/>
            <w:vAlign w:val="center"/>
          </w:tcPr>
          <w:p>
            <w:pPr>
              <w:widowControl/>
              <w:wordWrap w:val="0"/>
              <w:snapToGrid w:val="0"/>
              <w:spacing w:line="240" w:lineRule="exact"/>
              <w:jc w:val="center"/>
              <w:rPr>
                <w:rFonts w:ascii="宋体" w:hAnsi="宋体" w:cs="Arial"/>
                <w:sz w:val="20"/>
                <w:szCs w:val="20"/>
              </w:rPr>
            </w:pPr>
          </w:p>
        </w:tc>
        <w:tc>
          <w:tcPr>
            <w:tcW w:w="1290" w:type="dxa"/>
            <w:vAlign w:val="center"/>
          </w:tcPr>
          <w:p>
            <w:pPr>
              <w:widowControl/>
              <w:wordWrap w:val="0"/>
              <w:snapToGrid w:val="0"/>
              <w:spacing w:line="240" w:lineRule="exact"/>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ascii="宋体" w:hAnsi="宋体" w:cs="Arial"/>
                <w:sz w:val="20"/>
                <w:szCs w:val="20"/>
              </w:rPr>
            </w:pPr>
          </w:p>
        </w:tc>
        <w:tc>
          <w:tcPr>
            <w:tcW w:w="1528" w:type="dxa"/>
            <w:vAlign w:val="center"/>
          </w:tcPr>
          <w:p>
            <w:pPr>
              <w:widowControl/>
              <w:wordWrap w:val="0"/>
              <w:snapToGrid w:val="0"/>
              <w:spacing w:line="240" w:lineRule="exact"/>
              <w:jc w:val="center"/>
              <w:rPr>
                <w:rFonts w:ascii="宋体" w:hAnsi="宋体" w:cs="Arial"/>
                <w:sz w:val="20"/>
                <w:szCs w:val="20"/>
              </w:rPr>
            </w:pPr>
          </w:p>
        </w:tc>
        <w:tc>
          <w:tcPr>
            <w:tcW w:w="2283" w:type="dxa"/>
            <w:vAlign w:val="center"/>
          </w:tcPr>
          <w:p>
            <w:pPr>
              <w:widowControl/>
              <w:wordWrap w:val="0"/>
              <w:snapToGrid w:val="0"/>
              <w:spacing w:line="240" w:lineRule="exact"/>
              <w:jc w:val="center"/>
              <w:rPr>
                <w:rFonts w:ascii="宋体" w:hAnsi="宋体" w:cs="Arial"/>
                <w:sz w:val="20"/>
                <w:szCs w:val="20"/>
              </w:rPr>
            </w:pPr>
          </w:p>
        </w:tc>
        <w:tc>
          <w:tcPr>
            <w:tcW w:w="860" w:type="dxa"/>
            <w:vAlign w:val="center"/>
          </w:tcPr>
          <w:p>
            <w:pPr>
              <w:widowControl/>
              <w:wordWrap w:val="0"/>
              <w:snapToGrid w:val="0"/>
              <w:spacing w:line="240" w:lineRule="exact"/>
              <w:jc w:val="center"/>
              <w:rPr>
                <w:rFonts w:ascii="宋体" w:hAnsi="宋体" w:cs="Arial"/>
                <w:sz w:val="20"/>
                <w:szCs w:val="20"/>
              </w:rPr>
            </w:pPr>
          </w:p>
        </w:tc>
        <w:tc>
          <w:tcPr>
            <w:tcW w:w="1290" w:type="dxa"/>
            <w:vAlign w:val="center"/>
          </w:tcPr>
          <w:p>
            <w:pPr>
              <w:widowControl/>
              <w:wordWrap w:val="0"/>
              <w:snapToGrid w:val="0"/>
              <w:spacing w:line="240" w:lineRule="exact"/>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eastAsia="宋体" w:cs="Arial"/>
                <w:sz w:val="20"/>
                <w:szCs w:val="20"/>
                <w:lang w:eastAsia="zh-CN"/>
              </w:rPr>
            </w:pPr>
          </w:p>
        </w:tc>
        <w:tc>
          <w:tcPr>
            <w:tcW w:w="1528"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2283"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ascii="宋体" w:hAnsi="宋体" w:cs="宋体"/>
                <w:szCs w:val="21"/>
                <w:shd w:val="clear" w:color="auto" w:fill="FFFFFF"/>
                <w:lang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9449" w:type="dxa"/>
            <w:gridSpan w:val="8"/>
            <w:vAlign w:val="center"/>
          </w:tcPr>
          <w:p>
            <w:pPr>
              <w:widowControl/>
              <w:jc w:val="left"/>
              <w:rPr>
                <w:rFonts w:hint="default" w:ascii="宋体" w:hAnsi="宋体" w:eastAsia="宋体" w:cs="Arial"/>
                <w:sz w:val="20"/>
                <w:szCs w:val="20"/>
                <w:lang w:val="en-US" w:eastAsia="zh-CN"/>
              </w:rPr>
            </w:pPr>
            <w:r>
              <w:rPr>
                <w:rFonts w:hint="eastAsia" w:ascii="宋体" w:hAnsi="宋体" w:cs="Arial"/>
                <w:sz w:val="20"/>
                <w:szCs w:val="20"/>
                <w:lang w:val="en-US" w:eastAsia="zh-CN"/>
              </w:rPr>
              <w:t>合计金额（大写）：                                           合计金额（小写）：</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455" w:type="dxa"/>
            <w:gridSpan w:val="2"/>
            <w:vAlign w:val="center"/>
          </w:tcPr>
          <w:p>
            <w:pPr>
              <w:widowControl/>
              <w:jc w:val="center"/>
              <w:rPr>
                <w:rFonts w:hint="default" w:ascii="宋体" w:hAnsi="宋体" w:eastAsia="宋体" w:cs="Arial"/>
                <w:sz w:val="20"/>
                <w:szCs w:val="20"/>
                <w:lang w:val="en-US" w:eastAsia="zh-CN"/>
              </w:rPr>
            </w:pPr>
            <w:r>
              <w:rPr>
                <w:rFonts w:hint="eastAsia" w:ascii="宋体" w:hAnsi="宋体" w:cs="Arial"/>
                <w:sz w:val="20"/>
                <w:szCs w:val="20"/>
                <w:lang w:val="en-US" w:eastAsia="zh-CN"/>
              </w:rPr>
              <w:t>付款方式：</w:t>
            </w:r>
          </w:p>
        </w:tc>
        <w:tc>
          <w:tcPr>
            <w:tcW w:w="6994" w:type="dxa"/>
            <w:gridSpan w:val="6"/>
            <w:vAlign w:val="center"/>
          </w:tcPr>
          <w:p>
            <w:pPr>
              <w:widowControl/>
              <w:jc w:val="left"/>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2455" w:type="dxa"/>
            <w:gridSpan w:val="2"/>
            <w:vAlign w:val="center"/>
          </w:tcPr>
          <w:p>
            <w:pPr>
              <w:widowControl/>
              <w:jc w:val="center"/>
              <w:rPr>
                <w:rFonts w:hint="default" w:ascii="宋体" w:hAnsi="宋体" w:cs="Arial"/>
                <w:sz w:val="20"/>
                <w:szCs w:val="20"/>
                <w:lang w:val="en-US" w:eastAsia="zh-CN"/>
              </w:rPr>
            </w:pPr>
            <w:r>
              <w:rPr>
                <w:rFonts w:hint="eastAsia" w:ascii="宋体" w:hAnsi="宋体" w:cs="Arial"/>
                <w:sz w:val="20"/>
                <w:szCs w:val="20"/>
                <w:lang w:val="en-US" w:eastAsia="zh-CN"/>
              </w:rPr>
              <w:t>备注：</w:t>
            </w:r>
          </w:p>
        </w:tc>
        <w:tc>
          <w:tcPr>
            <w:tcW w:w="6994" w:type="dxa"/>
            <w:gridSpan w:val="6"/>
            <w:vAlign w:val="center"/>
          </w:tcPr>
          <w:p>
            <w:pPr>
              <w:widowControl/>
              <w:jc w:val="left"/>
              <w:rPr>
                <w:rFonts w:hint="default" w:ascii="宋体" w:hAnsi="宋体" w:eastAsia="宋体" w:cs="Arial"/>
                <w:sz w:val="20"/>
                <w:szCs w:val="20"/>
                <w:lang w:val="en-US" w:eastAsia="zh-CN"/>
              </w:rPr>
            </w:pPr>
            <w:r>
              <w:rPr>
                <w:rFonts w:hint="eastAsia" w:ascii="宋体" w:hAnsi="宋体" w:cs="Arial"/>
                <w:sz w:val="20"/>
                <w:szCs w:val="20"/>
                <w:lang w:val="en-US" w:eastAsia="zh-CN"/>
              </w:rPr>
              <w:t>标段名称：</w:t>
            </w:r>
          </w:p>
        </w:tc>
      </w:tr>
    </w:tbl>
    <w:p>
      <w:pPr>
        <w:widowControl/>
        <w:spacing w:line="400" w:lineRule="exact"/>
        <w:rPr>
          <w:kern w:val="1"/>
          <w:sz w:val="24"/>
        </w:rPr>
      </w:pPr>
      <w:r>
        <w:rPr>
          <w:rFonts w:hint="eastAsia"/>
          <w:kern w:val="1"/>
          <w:sz w:val="24"/>
        </w:rPr>
        <w:t>1.报价汇总表：</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备注：以上</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报价包括：</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（1）本项目</w:t>
      </w:r>
      <w:r>
        <w:rPr>
          <w:rFonts w:hint="eastAsia" w:hAnsi="宋体" w:cs="Times New Roman"/>
          <w:color w:val="000000"/>
          <w:kern w:val="0"/>
          <w:sz w:val="21"/>
          <w:szCs w:val="24"/>
          <w:lang w:val="en-US" w:eastAsia="zh-CN" w:bidi="ar-SA"/>
        </w:rPr>
        <w:t>谈判</w:t>
      </w:r>
      <w:r>
        <w:rPr>
          <w:rFonts w:hint="eastAsia" w:ascii="Times New Roman" w:hAnsi="宋体" w:eastAsia="宋体" w:cs="Times New Roman"/>
          <w:color w:val="000000"/>
          <w:kern w:val="0"/>
          <w:sz w:val="21"/>
          <w:szCs w:val="24"/>
          <w:lang w:val="en-US" w:eastAsia="zh-CN" w:bidi="ar-SA"/>
        </w:rPr>
        <w:t>以人民币报价，双方发生的所有费用均以人民币进行结算与支付。</w:t>
      </w:r>
    </w:p>
    <w:p>
      <w:pPr>
        <w:spacing w:line="360" w:lineRule="auto"/>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（2）</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人在所提交的总报价为中标物品可以合格使用的价格，须包括设备及附件价款、包装费、运输费、税费等所有费用。</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（3）</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单位应遵照国家有关规定和本招标文件要求，编制</w:t>
      </w:r>
      <w:r>
        <w:rPr>
          <w:rFonts w:hint="eastAsia" w:hAnsi="宋体" w:cs="Times New Roman"/>
          <w:color w:val="000000"/>
          <w:kern w:val="0"/>
          <w:sz w:val="21"/>
          <w:szCs w:val="24"/>
          <w:lang w:val="en-US" w:eastAsia="zh-CN" w:bidi="ar-SA"/>
        </w:rPr>
        <w:t>谈判</w:t>
      </w:r>
      <w:r>
        <w:rPr>
          <w:rFonts w:hint="eastAsia" w:ascii="Times New Roman" w:hAnsi="宋体" w:eastAsia="宋体" w:cs="Times New Roman"/>
          <w:color w:val="000000"/>
          <w:kern w:val="0"/>
          <w:sz w:val="21"/>
          <w:szCs w:val="24"/>
          <w:lang w:val="en-US" w:eastAsia="zh-CN" w:bidi="ar-SA"/>
        </w:rPr>
        <w:t>报价。</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（4）</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单位应向国家交纳本项目合同中所涉及的一切税费。</w:t>
      </w:r>
    </w:p>
    <w:p>
      <w:pPr>
        <w:pStyle w:val="2"/>
        <w:rPr>
          <w:rFonts w:hint="eastAsia" w:ascii="Times New Roman" w:hAnsi="宋体" w:eastAsia="宋体" w:cs="Times New Roman"/>
          <w:color w:val="000000"/>
          <w:kern w:val="0"/>
          <w:sz w:val="21"/>
          <w:szCs w:val="24"/>
          <w:lang w:val="en-US" w:eastAsia="zh-CN" w:bidi="ar-SA"/>
        </w:rPr>
      </w:pPr>
      <w:r>
        <w:rPr>
          <w:rFonts w:hint="eastAsia" w:ascii="Times New Roman" w:hAnsi="宋体" w:eastAsia="宋体" w:cs="Times New Roman"/>
          <w:color w:val="000000"/>
          <w:kern w:val="0"/>
          <w:sz w:val="21"/>
          <w:szCs w:val="24"/>
          <w:lang w:val="en-US" w:eastAsia="zh-CN" w:bidi="ar-SA"/>
        </w:rPr>
        <w:t>（5）</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人应填写分项报价和总价。投</w:t>
      </w:r>
      <w:r>
        <w:rPr>
          <w:rFonts w:hint="eastAsia" w:hAnsi="宋体" w:cs="Times New Roman"/>
          <w:color w:val="000000"/>
          <w:kern w:val="0"/>
          <w:sz w:val="21"/>
          <w:szCs w:val="24"/>
          <w:lang w:val="en-US" w:eastAsia="zh-CN" w:bidi="ar-SA"/>
        </w:rPr>
        <w:t>标</w:t>
      </w:r>
      <w:r>
        <w:rPr>
          <w:rFonts w:hint="eastAsia" w:ascii="Times New Roman" w:hAnsi="宋体" w:eastAsia="宋体" w:cs="Times New Roman"/>
          <w:color w:val="000000"/>
          <w:kern w:val="0"/>
          <w:sz w:val="21"/>
          <w:szCs w:val="24"/>
          <w:lang w:val="en-US" w:eastAsia="zh-CN" w:bidi="ar-SA"/>
        </w:rPr>
        <w:t>人</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报价应依据市场行情和自身实力进行自主报价，任何有选择的报价将不予接受，每种规格货物只允许有一个报价。</w:t>
      </w:r>
    </w:p>
    <w:p>
      <w:pPr>
        <w:pStyle w:val="2"/>
        <w:rPr>
          <w:rFonts w:hint="eastAsia" w:ascii="Times New Roman" w:hAnsi="宋体" w:eastAsia="宋体" w:cs="Times New Roman"/>
          <w:color w:val="000000"/>
          <w:kern w:val="0"/>
          <w:sz w:val="21"/>
          <w:szCs w:val="24"/>
          <w:lang w:val="en-US" w:eastAsia="zh-CN" w:bidi="ar-SA"/>
        </w:rPr>
      </w:pP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报价应包括</w:t>
      </w:r>
      <w:r>
        <w:rPr>
          <w:rFonts w:hint="eastAsia" w:hAnsi="宋体" w:cs="Times New Roman"/>
          <w:color w:val="000000"/>
          <w:kern w:val="0"/>
          <w:sz w:val="21"/>
          <w:szCs w:val="24"/>
          <w:lang w:val="en-US" w:eastAsia="zh-CN" w:bidi="ar-SA"/>
        </w:rPr>
        <w:t>投标</w:t>
      </w:r>
      <w:r>
        <w:rPr>
          <w:rFonts w:hint="eastAsia" w:ascii="Times New Roman" w:hAnsi="宋体" w:eastAsia="宋体" w:cs="Times New Roman"/>
          <w:color w:val="000000"/>
          <w:kern w:val="0"/>
          <w:sz w:val="21"/>
          <w:szCs w:val="24"/>
          <w:lang w:val="en-US" w:eastAsia="zh-CN" w:bidi="ar-SA"/>
        </w:rPr>
        <w:t>人中标后为完成合同规定的全部工作需支付的一切费用（包括包装物、零星物资装运费、税金等）和拟获得的利润，并考虑了应承担的风险。</w:t>
      </w:r>
    </w:p>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tabs>
          <w:tab w:val="left" w:pos="8879"/>
        </w:tabs>
        <w:spacing w:line="340" w:lineRule="auto"/>
        <w:ind w:left="5048" w:right="625" w:firstLine="211"/>
        <w:rPr>
          <w:sz w:val="24"/>
        </w:rPr>
      </w:pPr>
    </w:p>
    <w:p>
      <w:pPr>
        <w:pStyle w:val="5"/>
        <w:bidi w:val="0"/>
        <w:jc w:val="center"/>
      </w:pPr>
      <w:bookmarkStart w:id="55" w:name="_Toc6285"/>
      <w:bookmarkStart w:id="56" w:name="_Toc459219386"/>
      <w:bookmarkStart w:id="57" w:name="_Toc459843306"/>
      <w:r>
        <w:rPr>
          <w:rFonts w:hint="eastAsia"/>
          <w:lang w:val="en-US" w:eastAsia="zh-CN"/>
        </w:rPr>
        <w:t>五</w:t>
      </w:r>
      <w:r>
        <w:rPr>
          <w:rFonts w:hint="eastAsia"/>
        </w:rPr>
        <w:t>、</w:t>
      </w:r>
      <w:r>
        <w:rPr>
          <w:rFonts w:hint="eastAsia"/>
          <w:lang w:val="en-US"/>
        </w:rPr>
        <w:t>技术偏离表</w:t>
      </w:r>
      <w:bookmarkEnd w:id="55"/>
    </w:p>
    <w:p>
      <w:pPr>
        <w:widowControl/>
        <w:spacing w:line="400" w:lineRule="exact"/>
        <w:rPr>
          <w:kern w:val="1"/>
          <w:sz w:val="24"/>
        </w:rPr>
      </w:pPr>
      <w:r>
        <w:rPr>
          <w:rFonts w:hint="eastAsia"/>
          <w:kern w:val="1"/>
          <w:sz w:val="24"/>
        </w:rPr>
        <w:t>技术偏离表：</w:t>
      </w:r>
    </w:p>
    <w:tbl>
      <w:tblPr>
        <w:tblStyle w:val="47"/>
        <w:tblW w:w="9538" w:type="dxa"/>
        <w:tblInd w:w="0" w:type="dxa"/>
        <w:tblLayout w:type="fixed"/>
        <w:tblCellMar>
          <w:top w:w="0" w:type="dxa"/>
          <w:left w:w="0" w:type="dxa"/>
          <w:bottom w:w="0" w:type="dxa"/>
          <w:right w:w="0" w:type="dxa"/>
        </w:tblCellMar>
      </w:tblPr>
      <w:tblGrid>
        <w:gridCol w:w="1152"/>
        <w:gridCol w:w="1600"/>
        <w:gridCol w:w="1436"/>
        <w:gridCol w:w="1069"/>
        <w:gridCol w:w="1031"/>
        <w:gridCol w:w="769"/>
        <w:gridCol w:w="2481"/>
      </w:tblGrid>
      <w:tr>
        <w:tblPrEx>
          <w:tblCellMar>
            <w:top w:w="0" w:type="dxa"/>
            <w:left w:w="0" w:type="dxa"/>
            <w:bottom w:w="0" w:type="dxa"/>
            <w:right w:w="0" w:type="dxa"/>
          </w:tblCellMar>
        </w:tblPrEx>
        <w:trPr>
          <w:trHeight w:val="579" w:hRule="atLeast"/>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序号</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货物名称</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型号规格</w:t>
            </w:r>
          </w:p>
        </w:tc>
        <w:tc>
          <w:tcPr>
            <w:tcW w:w="53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规格响应情况</w:t>
            </w:r>
          </w:p>
        </w:tc>
      </w:tr>
      <w:tr>
        <w:tblPrEx>
          <w:tblCellMar>
            <w:top w:w="0" w:type="dxa"/>
            <w:left w:w="0" w:type="dxa"/>
            <w:bottom w:w="0" w:type="dxa"/>
            <w:right w:w="0" w:type="dxa"/>
          </w:tblCellMar>
        </w:tblPrEx>
        <w:trPr>
          <w:trHeight w:val="1574" w:hRule="atLeast"/>
        </w:trPr>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招标文件要求参数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投标文件实际参数</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偏离</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说明、彩页、检测报告或相关证明文件对应页码</w:t>
            </w: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
        <w:bidi w:val="0"/>
        <w:jc w:val="center"/>
      </w:pPr>
      <w:bookmarkStart w:id="58" w:name="_Toc17962"/>
      <w:r>
        <w:rPr>
          <w:rFonts w:hint="eastAsia"/>
          <w:lang w:val="en-US" w:eastAsia="zh-CN"/>
        </w:rPr>
        <w:t>六</w:t>
      </w:r>
      <w:r>
        <w:rPr>
          <w:rFonts w:hint="eastAsia"/>
        </w:rPr>
        <w:t>、</w:t>
      </w:r>
      <w:r>
        <w:rPr>
          <w:rFonts w:hint="eastAsia"/>
          <w:lang w:val="en-US"/>
        </w:rPr>
        <w:t>商务偏离表</w:t>
      </w:r>
      <w:bookmarkEnd w:id="58"/>
    </w:p>
    <w:p>
      <w:pPr>
        <w:widowControl/>
        <w:spacing w:line="400" w:lineRule="exact"/>
        <w:rPr>
          <w:kern w:val="1"/>
          <w:sz w:val="24"/>
        </w:rPr>
      </w:pPr>
      <w:r>
        <w:rPr>
          <w:rFonts w:hint="eastAsia"/>
          <w:kern w:val="1"/>
          <w:sz w:val="24"/>
        </w:rPr>
        <w:t>商务偏离表：</w:t>
      </w:r>
    </w:p>
    <w:tbl>
      <w:tblPr>
        <w:tblStyle w:val="47"/>
        <w:tblW w:w="9477" w:type="dxa"/>
        <w:tblInd w:w="0" w:type="dxa"/>
        <w:tblLayout w:type="fixed"/>
        <w:tblCellMar>
          <w:top w:w="0" w:type="dxa"/>
          <w:left w:w="0" w:type="dxa"/>
          <w:bottom w:w="0" w:type="dxa"/>
          <w:right w:w="0" w:type="dxa"/>
        </w:tblCellMar>
      </w:tblPr>
      <w:tblGrid>
        <w:gridCol w:w="785"/>
        <w:gridCol w:w="2300"/>
        <w:gridCol w:w="2743"/>
        <w:gridCol w:w="2343"/>
        <w:gridCol w:w="1306"/>
      </w:tblGrid>
      <w:tr>
        <w:tblPrEx>
          <w:tblCellMar>
            <w:top w:w="0" w:type="dxa"/>
            <w:left w:w="0" w:type="dxa"/>
            <w:bottom w:w="0" w:type="dxa"/>
            <w:right w:w="0" w:type="dxa"/>
          </w:tblCellMar>
        </w:tblPrEx>
        <w:trPr>
          <w:trHeight w:val="1706"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序号</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竞争性磋商文件条目号</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竞争性磋商文件的商务条款</w:t>
            </w:r>
          </w:p>
        </w:tc>
        <w:tc>
          <w:tcPr>
            <w:tcW w:w="2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响应性文件的商务条款</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偏离情况</w:t>
            </w: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5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
        <w:bidi w:val="0"/>
        <w:jc w:val="center"/>
        <w:rPr>
          <w:lang w:eastAsia="zh-CN"/>
        </w:rPr>
      </w:pPr>
      <w:bookmarkStart w:id="59" w:name="_Toc7703"/>
      <w:r>
        <w:rPr>
          <w:rFonts w:hint="eastAsia"/>
          <w:lang w:val="en-US" w:eastAsia="zh-CN"/>
        </w:rPr>
        <w:t>七</w:t>
      </w:r>
      <w:r>
        <w:rPr>
          <w:rFonts w:hint="eastAsia"/>
          <w:lang w:eastAsia="zh-CN"/>
        </w:rPr>
        <w:t>、投标单位概况表</w:t>
      </w:r>
      <w:bookmarkEnd w:id="59"/>
    </w:p>
    <w:p>
      <w:pPr>
        <w:widowControl/>
        <w:spacing w:line="400" w:lineRule="exact"/>
        <w:rPr>
          <w:kern w:val="1"/>
          <w:sz w:val="24"/>
        </w:rPr>
      </w:pPr>
      <w:r>
        <w:rPr>
          <w:kern w:val="1"/>
          <w:sz w:val="24"/>
        </w:rPr>
        <w:t>投标项目名称：                               标书编号：</w:t>
      </w:r>
    </w:p>
    <w:tbl>
      <w:tblPr>
        <w:tblStyle w:val="47"/>
        <w:tblW w:w="100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序号</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项       目</w:t>
            </w:r>
          </w:p>
        </w:tc>
        <w:tc>
          <w:tcPr>
            <w:tcW w:w="5593" w:type="dxa"/>
            <w:vAlign w:val="center"/>
          </w:tcPr>
          <w:p>
            <w:pPr>
              <w:widowControl/>
              <w:spacing w:line="400" w:lineRule="exact"/>
              <w:rPr>
                <w:rFonts w:ascii="宋体" w:hAnsi="宋体" w:cs="宋体"/>
                <w:kern w:val="1"/>
                <w:sz w:val="24"/>
              </w:rPr>
            </w:pPr>
            <w:r>
              <w:rPr>
                <w:rFonts w:ascii="宋体" w:hAnsi="宋体" w:cs="宋体"/>
                <w:kern w:val="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企业性质</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2</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职工人数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3</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4</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高级技术人员数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5</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固定资产（万元）原值/净值</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6</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流动资金</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7</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8</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9</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10</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承担类似工程数量</w:t>
            </w:r>
          </w:p>
        </w:tc>
        <w:tc>
          <w:tcPr>
            <w:tcW w:w="5593" w:type="dxa"/>
            <w:vAlign w:val="center"/>
          </w:tcPr>
          <w:p>
            <w:pPr>
              <w:widowControl/>
              <w:spacing w:line="400" w:lineRule="exact"/>
              <w:rPr>
                <w:rFonts w:ascii="宋体" w:hAnsi="宋体" w:cs="宋体"/>
                <w:kern w:val="1"/>
                <w:sz w:val="24"/>
              </w:rPr>
            </w:pPr>
          </w:p>
        </w:tc>
      </w:tr>
    </w:tbl>
    <w:p>
      <w:pPr>
        <w:pStyle w:val="2"/>
        <w:tabs>
          <w:tab w:val="left" w:pos="8567"/>
        </w:tabs>
        <w:spacing w:line="340" w:lineRule="auto"/>
        <w:ind w:right="625"/>
        <w:jc w:val="center"/>
        <w:rPr>
          <w:spacing w:val="-2"/>
        </w:rPr>
      </w:pPr>
      <w:r>
        <w:rPr>
          <w:rFonts w:hint="eastAsia"/>
          <w:spacing w:val="-2"/>
        </w:rPr>
        <w:t xml:space="preserve">                                                  </w:t>
      </w:r>
    </w:p>
    <w:p>
      <w:pPr>
        <w:pStyle w:val="2"/>
        <w:tabs>
          <w:tab w:val="left" w:pos="8567"/>
        </w:tabs>
        <w:spacing w:line="340" w:lineRule="auto"/>
        <w:ind w:right="625"/>
        <w:jc w:val="center"/>
        <w:rPr>
          <w:spacing w:val="-2"/>
        </w:rPr>
      </w:pPr>
    </w:p>
    <w:p>
      <w:pPr>
        <w:pStyle w:val="2"/>
        <w:tabs>
          <w:tab w:val="left" w:pos="8567"/>
        </w:tabs>
        <w:spacing w:line="340" w:lineRule="auto"/>
        <w:ind w:right="625"/>
        <w:jc w:val="center"/>
        <w:rPr>
          <w:spacing w:val="29"/>
        </w:rPr>
      </w:pPr>
      <w:r>
        <w:rPr>
          <w:rFonts w:hint="eastAsia"/>
          <w:spacing w:val="-2"/>
        </w:rPr>
        <w:t xml:space="preserve">                       投标人：</w:t>
      </w:r>
      <w:r>
        <w:rPr>
          <w:rFonts w:eastAsia="Times New Roman"/>
          <w:u w:val="single" w:color="000000"/>
        </w:rPr>
        <w:t xml:space="preserve"> </w:t>
      </w:r>
      <w:r>
        <w:rPr>
          <w:rFonts w:hint="eastAsia"/>
          <w:u w:val="single" w:color="000000"/>
        </w:rPr>
        <w:t xml:space="preserve">           </w:t>
      </w:r>
      <w:r>
        <w:rPr>
          <w:rFonts w:eastAsia="Times New Roman"/>
          <w:spacing w:val="29"/>
        </w:rPr>
        <w:t xml:space="preserve"> </w:t>
      </w:r>
      <w:r>
        <w:rPr>
          <w:rFonts w:hint="eastAsia"/>
          <w:spacing w:val="-2"/>
        </w:rPr>
        <w:t>（盖章）</w:t>
      </w:r>
    </w:p>
    <w:p>
      <w:pPr>
        <w:pStyle w:val="2"/>
        <w:tabs>
          <w:tab w:val="left" w:pos="8879"/>
        </w:tabs>
        <w:spacing w:line="340" w:lineRule="auto"/>
        <w:ind w:right="625" w:firstLine="3914" w:firstLineChars="1900"/>
      </w:pPr>
      <w:r>
        <w:rPr>
          <w:rFonts w:hint="eastAsia"/>
          <w:spacing w:val="-2"/>
        </w:rPr>
        <w:t>法定代表人（或委托代理人）：</w:t>
      </w:r>
      <w:r>
        <w:rPr>
          <w:rFonts w:hint="eastAsia"/>
          <w:spacing w:val="-2"/>
          <w:u w:val="single"/>
        </w:rPr>
        <w:t xml:space="preserve">          </w:t>
      </w:r>
      <w:r>
        <w:rPr>
          <w:rFonts w:hint="eastAsia"/>
          <w:spacing w:val="-2"/>
        </w:rPr>
        <w:t>（签名）</w:t>
      </w:r>
    </w:p>
    <w:p>
      <w:pPr>
        <w:spacing w:before="6"/>
        <w:jc w:val="center"/>
        <w:rPr>
          <w:rFonts w:ascii="宋体" w:hAnsi="宋体" w:cs="宋体"/>
          <w:sz w:val="11"/>
          <w:szCs w:val="11"/>
        </w:rPr>
      </w:pPr>
    </w:p>
    <w:p>
      <w:pPr>
        <w:pStyle w:val="2"/>
        <w:tabs>
          <w:tab w:val="left" w:pos="6416"/>
          <w:tab w:val="left" w:pos="7153"/>
          <w:tab w:val="left" w:pos="9045"/>
        </w:tabs>
        <w:ind w:firstLine="5880" w:firstLineChars="2800"/>
        <w:jc w:val="center"/>
        <w:rPr>
          <w:rFonts w:ascii="宋体" w:hAnsi="宋体"/>
          <w:szCs w:val="21"/>
        </w:rPr>
      </w:pPr>
      <w:r>
        <w:rPr>
          <w:rFonts w:hint="eastAsia"/>
        </w:rPr>
        <w:t>年</w:t>
      </w:r>
      <w:r>
        <w:rPr>
          <w:rFonts w:hint="eastAsia"/>
          <w:u w:val="single" w:color="000000"/>
        </w:rPr>
        <w:t xml:space="preserve">     </w:t>
      </w:r>
      <w:r>
        <w:rPr>
          <w:rFonts w:hint="eastAsia"/>
          <w:spacing w:val="-2"/>
        </w:rPr>
        <w:t>月</w:t>
      </w:r>
      <w:r>
        <w:rPr>
          <w:rFonts w:eastAsia="Times New Roman"/>
          <w:spacing w:val="-2"/>
          <w:u w:val="single" w:color="000000"/>
        </w:rPr>
        <w:tab/>
      </w:r>
      <w:r>
        <w:rPr>
          <w:rFonts w:hint="eastAsia"/>
          <w:spacing w:val="-2"/>
          <w:u w:val="single" w:color="000000"/>
        </w:rPr>
        <w:t xml:space="preserve">     </w:t>
      </w:r>
      <w:r>
        <w:rPr>
          <w:rFonts w:hint="eastAsia"/>
        </w:rPr>
        <w:t>日</w:t>
      </w:r>
    </w:p>
    <w:p>
      <w:pPr>
        <w:widowControl/>
        <w:spacing w:line="400" w:lineRule="exact"/>
        <w:jc w:val="center"/>
        <w:rPr>
          <w:rFonts w:ascii="宋体" w:hAnsi="宋体" w:cs="宋体"/>
          <w:kern w:val="1"/>
          <w:sz w:val="24"/>
        </w:rPr>
      </w:pPr>
    </w:p>
    <w:p>
      <w:pPr>
        <w:rPr>
          <w:sz w:val="24"/>
        </w:rPr>
      </w:pPr>
    </w:p>
    <w:p>
      <w:pPr>
        <w:rPr>
          <w:sz w:val="24"/>
        </w:rPr>
      </w:pPr>
    </w:p>
    <w:p>
      <w:pPr>
        <w:rPr>
          <w:sz w:val="24"/>
        </w:rPr>
      </w:pPr>
    </w:p>
    <w:p>
      <w:pPr>
        <w:pStyle w:val="5"/>
        <w:bidi w:val="0"/>
        <w:jc w:val="center"/>
      </w:pPr>
      <w:bookmarkStart w:id="60" w:name="_Toc23092"/>
      <w:r>
        <w:rPr>
          <w:rFonts w:hint="eastAsia"/>
          <w:lang w:val="en-US" w:eastAsia="zh-CN"/>
        </w:rPr>
        <w:t>八</w:t>
      </w:r>
      <w:r>
        <w:rPr>
          <w:rFonts w:hint="eastAsia"/>
        </w:rPr>
        <w:t>、近</w:t>
      </w:r>
      <w:r>
        <w:rPr>
          <w:rFonts w:hint="eastAsia"/>
          <w:lang w:val="en-US"/>
        </w:rPr>
        <w:t>3</w:t>
      </w:r>
      <w:r>
        <w:rPr>
          <w:rFonts w:hint="eastAsia"/>
        </w:rPr>
        <w:t xml:space="preserve"> 年完成的相似项目情况表</w:t>
      </w:r>
      <w:r>
        <w:t>（格式）</w:t>
      </w:r>
      <w:bookmarkEnd w:id="60"/>
    </w:p>
    <w:p>
      <w:pPr>
        <w:pStyle w:val="2"/>
        <w:tabs>
          <w:tab w:val="left" w:pos="3889"/>
          <w:tab w:val="left" w:pos="5043"/>
          <w:tab w:val="left" w:pos="6355"/>
          <w:tab w:val="left" w:pos="7669"/>
        </w:tabs>
        <w:ind w:left="1789"/>
      </w:pPr>
      <w:r>
        <w:t>近</w:t>
      </w:r>
      <w:r>
        <w:rPr>
          <w:spacing w:val="-54"/>
        </w:rPr>
        <w:t xml:space="preserve"> </w:t>
      </w:r>
      <w:r>
        <w:rPr>
          <w:rFonts w:hint="eastAsia"/>
        </w:rPr>
        <w:t>3</w:t>
      </w:r>
      <w:r>
        <w:t>年指</w:t>
      </w:r>
      <w:r>
        <w:rPr>
          <w:rFonts w:eastAsia="Times New Roman"/>
          <w:u w:val="single"/>
        </w:rPr>
        <w:t xml:space="preserve"> </w:t>
      </w:r>
      <w:r>
        <w:rPr>
          <w:rFonts w:eastAsia="Times New Roman"/>
          <w:u w:val="single"/>
        </w:rPr>
        <w:tab/>
      </w:r>
      <w:r>
        <w:t>年</w:t>
      </w:r>
      <w:r>
        <w:rPr>
          <w:rFonts w:eastAsia="Times New Roman"/>
          <w:u w:val="single"/>
        </w:rPr>
        <w:t xml:space="preserve"> </w:t>
      </w:r>
      <w:r>
        <w:rPr>
          <w:rFonts w:eastAsia="Times New Roman"/>
          <w:u w:val="single"/>
        </w:rPr>
        <w:tab/>
      </w:r>
      <w:r>
        <w:t>月至</w:t>
      </w:r>
      <w:r>
        <w:rPr>
          <w:rFonts w:eastAsia="Times New Roman"/>
          <w:u w:val="single"/>
        </w:rPr>
        <w:tab/>
      </w:r>
      <w:r>
        <w:t>年</w:t>
      </w:r>
      <w:r>
        <w:rPr>
          <w:rFonts w:eastAsia="Times New Roman"/>
          <w:u w:val="single"/>
        </w:rPr>
        <w:t xml:space="preserve"> </w:t>
      </w:r>
      <w:r>
        <w:rPr>
          <w:rFonts w:eastAsia="Times New Roman"/>
          <w:u w:val="single"/>
        </w:rPr>
        <w:tab/>
      </w:r>
      <w:r>
        <w:t>月）</w:t>
      </w:r>
    </w:p>
    <w:p>
      <w:pPr>
        <w:pStyle w:val="2"/>
        <w:spacing w:after="1"/>
        <w:rPr>
          <w:sz w:val="13"/>
        </w:rPr>
      </w:pPr>
    </w:p>
    <w:tbl>
      <w:tblPr>
        <w:tblStyle w:val="47"/>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0"/>
              <w:ind w:left="1588" w:right="1393"/>
              <w:jc w:val="both"/>
              <w:rPr>
                <w:color w:val="000000"/>
                <w:sz w:val="21"/>
              </w:rPr>
            </w:pPr>
            <w:r>
              <w:rPr>
                <w:color w:val="000000"/>
                <w:sz w:val="21"/>
              </w:rPr>
              <w:t>合同名称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合同项目所在地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发包人名称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发包人地址</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发包人电话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签约合同价</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开工日期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完工日期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承担的工作</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工程质量</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项目经理</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技术负责人</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lang w:eastAsia="zh-CN"/>
              </w:rPr>
            </w:pPr>
            <w:r>
              <w:rPr>
                <w:color w:val="000000"/>
                <w:sz w:val="21"/>
                <w:lang w:eastAsia="zh-CN"/>
              </w:rPr>
              <w:t>监理人和总监理工程师及电话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合同项目描述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3871" w:type="dxa"/>
            <w:vAlign w:val="center"/>
          </w:tcPr>
          <w:p>
            <w:pPr>
              <w:pStyle w:val="500"/>
              <w:spacing w:before="144"/>
              <w:jc w:val="center"/>
              <w:rPr>
                <w:color w:val="000000"/>
                <w:sz w:val="21"/>
              </w:rPr>
            </w:pPr>
            <w:r>
              <w:rPr>
                <w:color w:val="000000"/>
                <w:sz w:val="21"/>
              </w:rPr>
              <w:t>备注</w:t>
            </w:r>
          </w:p>
        </w:tc>
        <w:tc>
          <w:tcPr>
            <w:tcW w:w="5372" w:type="dxa"/>
            <w:vAlign w:val="center"/>
          </w:tcPr>
          <w:p>
            <w:pPr>
              <w:pStyle w:val="500"/>
              <w:spacing w:line="384" w:lineRule="auto"/>
              <w:ind w:left="102" w:right="100"/>
              <w:jc w:val="both"/>
              <w:rPr>
                <w:color w:val="000000"/>
                <w:sz w:val="21"/>
                <w:lang w:eastAsia="zh-CN"/>
              </w:rPr>
            </w:pPr>
            <w:r>
              <w:rPr>
                <w:color w:val="000000"/>
                <w:spacing w:val="-4"/>
                <w:sz w:val="21"/>
                <w:lang w:eastAsia="zh-CN"/>
              </w:rPr>
              <w:t>合同项目描述内容至少包括项目概况、本合同在项目中的</w:t>
            </w:r>
            <w:r>
              <w:rPr>
                <w:color w:val="000000"/>
                <w:w w:val="99"/>
                <w:sz w:val="21"/>
                <w:lang w:eastAsia="zh-CN"/>
              </w:rPr>
              <w:t xml:space="preserve"> </w:t>
            </w:r>
            <w:r>
              <w:rPr>
                <w:color w:val="000000"/>
                <w:spacing w:val="-4"/>
                <w:sz w:val="21"/>
                <w:lang w:eastAsia="zh-CN"/>
              </w:rPr>
              <w:t xml:space="preserve">地位（部位、合同价格所占比例）和合同工程完工验收鉴 </w:t>
            </w:r>
            <w:r>
              <w:rPr>
                <w:color w:val="000000"/>
                <w:sz w:val="21"/>
                <w:lang w:eastAsia="zh-CN"/>
              </w:rPr>
              <w:t>定书有关验收结论</w:t>
            </w:r>
          </w:p>
        </w:tc>
      </w:tr>
    </w:tbl>
    <w:p>
      <w:pPr>
        <w:tabs>
          <w:tab w:val="left" w:pos="1105"/>
        </w:tabs>
        <w:spacing w:before="37"/>
        <w:ind w:firstLine="420" w:firstLineChars="200"/>
        <w:jc w:val="left"/>
        <w:rPr>
          <w:szCs w:val="21"/>
        </w:rPr>
      </w:pPr>
      <w:r>
        <w:rPr>
          <w:szCs w:val="21"/>
        </w:rPr>
        <w:t>注</w:t>
      </w:r>
      <w:r>
        <w:rPr>
          <w:rFonts w:hint="eastAsia"/>
          <w:szCs w:val="21"/>
        </w:rPr>
        <w:t>：</w:t>
      </w:r>
      <w:r>
        <w:rPr>
          <w:szCs w:val="21"/>
        </w:rPr>
        <w:t>相关材料复印件在“原件的复印件”中提供。</w:t>
      </w:r>
    </w:p>
    <w:p>
      <w:pPr>
        <w:pStyle w:val="76"/>
        <w:spacing w:line="360" w:lineRule="auto"/>
        <w:jc w:val="left"/>
        <w:rPr>
          <w:rFonts w:eastAsia="宋体"/>
          <w:color w:val="000000"/>
          <w:sz w:val="21"/>
        </w:rPr>
      </w:pPr>
    </w:p>
    <w:p>
      <w:pPr>
        <w:spacing w:line="440" w:lineRule="exact"/>
      </w:pPr>
    </w:p>
    <w:p>
      <w:pPr>
        <w:spacing w:line="440" w:lineRule="exact"/>
      </w:pPr>
    </w:p>
    <w:p>
      <w:pPr>
        <w:spacing w:line="440" w:lineRule="exact"/>
      </w:pPr>
    </w:p>
    <w:p>
      <w:pPr>
        <w:spacing w:line="440" w:lineRule="exact"/>
      </w:pPr>
    </w:p>
    <w:p>
      <w:pPr>
        <w:pStyle w:val="8"/>
        <w:overflowPunct w:val="0"/>
        <w:ind w:firstLine="0"/>
        <w:jc w:val="center"/>
        <w:rPr>
          <w:b/>
          <w:bCs/>
          <w:sz w:val="32"/>
          <w:szCs w:val="32"/>
        </w:rPr>
      </w:pPr>
    </w:p>
    <w:p>
      <w:pPr>
        <w:pStyle w:val="5"/>
        <w:bidi w:val="0"/>
        <w:jc w:val="center"/>
      </w:pPr>
      <w:bookmarkStart w:id="61" w:name="_Toc26527"/>
      <w:r>
        <w:rPr>
          <w:rFonts w:hint="eastAsia"/>
          <w:lang w:val="en-US" w:eastAsia="zh-CN"/>
        </w:rPr>
        <w:t>九</w:t>
      </w:r>
      <w:r>
        <w:rPr>
          <w:rFonts w:hint="eastAsia"/>
        </w:rPr>
        <w:t>、近三年的财务报表</w:t>
      </w:r>
      <w:bookmarkEnd w:id="61"/>
    </w:p>
    <w:p>
      <w:pPr>
        <w:pStyle w:val="8"/>
        <w:rPr>
          <w:bCs/>
          <w:szCs w:val="24"/>
        </w:rPr>
      </w:pPr>
      <w:r>
        <w:rPr>
          <w:bCs/>
          <w:szCs w:val="24"/>
        </w:rPr>
        <w:t>应提供有法定资质的审计事务所出具的审计报告和全部附件</w:t>
      </w:r>
    </w:p>
    <w:p>
      <w:pPr>
        <w:spacing w:line="360" w:lineRule="auto"/>
        <w:ind w:firstLine="420" w:firstLineChars="200"/>
        <w:rPr>
          <w:szCs w:val="21"/>
        </w:rPr>
      </w:pPr>
      <w:r>
        <w:rPr>
          <w:szCs w:val="21"/>
        </w:rPr>
        <w:t>财务状况表</w:t>
      </w:r>
    </w:p>
    <w:tbl>
      <w:tblPr>
        <w:tblStyle w:val="47"/>
        <w:tblW w:w="8522"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132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exact"/>
        </w:trPr>
        <w:tc>
          <w:tcPr>
            <w:tcW w:w="2088" w:type="dxa"/>
            <w:tcBorders>
              <w:bottom w:val="single" w:color="000000" w:sz="6" w:space="0"/>
              <w:right w:val="single" w:color="000000" w:sz="6" w:space="0"/>
            </w:tcBorders>
            <w:vAlign w:val="center"/>
          </w:tcPr>
          <w:p>
            <w:pPr>
              <w:spacing w:line="360" w:lineRule="auto"/>
              <w:jc w:val="center"/>
              <w:rPr>
                <w:szCs w:val="21"/>
              </w:rPr>
            </w:pPr>
            <w:r>
              <w:rPr>
                <w:szCs w:val="21"/>
              </w:rPr>
              <w:t>名 称</w:t>
            </w:r>
          </w:p>
        </w:tc>
        <w:tc>
          <w:tcPr>
            <w:tcW w:w="1320"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单位</w:t>
            </w:r>
          </w:p>
        </w:tc>
        <w:tc>
          <w:tcPr>
            <w:tcW w:w="1704"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tcBorders>
            <w:vAlign w:val="center"/>
          </w:tcPr>
          <w:p>
            <w:pPr>
              <w:spacing w:line="360" w:lineRule="auto"/>
              <w:jc w:val="center"/>
              <w:rPr>
                <w:szCs w:val="21"/>
              </w:rPr>
            </w:pPr>
            <w:r>
              <w:rPr>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一、注册资金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二、净资产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三、总资产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四、固定资产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五、流动资产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六、流动负债</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七、负债合计</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八、营业收入</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九、净利润</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exact"/>
        </w:trPr>
        <w:tc>
          <w:tcPr>
            <w:tcW w:w="2088" w:type="dxa"/>
            <w:tcBorders>
              <w:top w:val="single" w:color="000000" w:sz="6" w:space="0"/>
              <w:right w:val="single" w:color="000000" w:sz="6" w:space="0"/>
            </w:tcBorders>
          </w:tcPr>
          <w:p>
            <w:pPr>
              <w:spacing w:line="360" w:lineRule="auto"/>
              <w:ind w:firstLine="420" w:firstLineChars="200"/>
              <w:jc w:val="center"/>
              <w:rPr>
                <w:szCs w:val="21"/>
              </w:rPr>
            </w:pPr>
          </w:p>
        </w:tc>
        <w:tc>
          <w:tcPr>
            <w:tcW w:w="1320"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4"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tcBorders>
          </w:tcPr>
          <w:p>
            <w:pPr>
              <w:spacing w:line="360" w:lineRule="auto"/>
              <w:ind w:firstLine="420" w:firstLineChars="200"/>
              <w:jc w:val="center"/>
              <w:rPr>
                <w:szCs w:val="21"/>
              </w:rPr>
            </w:pPr>
          </w:p>
        </w:tc>
      </w:tr>
    </w:tbl>
    <w:p>
      <w:pPr>
        <w:pStyle w:val="8"/>
        <w:ind w:firstLine="0"/>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8"/>
        <w:jc w:val="center"/>
        <w:rPr>
          <w:b/>
          <w:bCs/>
          <w:sz w:val="28"/>
        </w:rPr>
      </w:pPr>
    </w:p>
    <w:p>
      <w:pPr>
        <w:pStyle w:val="5"/>
        <w:bidi w:val="0"/>
        <w:jc w:val="center"/>
      </w:pPr>
      <w:bookmarkStart w:id="62" w:name="_Toc4553"/>
      <w:r>
        <w:rPr>
          <w:rFonts w:hint="eastAsia"/>
          <w:lang w:val="en-US" w:eastAsia="zh-CN"/>
        </w:rPr>
        <w:t>十</w:t>
      </w:r>
      <w:r>
        <w:rPr>
          <w:rFonts w:hint="eastAsia"/>
        </w:rPr>
        <w:t>、投标货物近期的出厂检验报告、市级/省级/国家级检验报告</w:t>
      </w:r>
      <w:bookmarkEnd w:id="62"/>
    </w:p>
    <w:p>
      <w:pPr>
        <w:widowControl/>
        <w:spacing w:line="400" w:lineRule="exact"/>
        <w:rPr>
          <w:rFonts w:ascii="宋体" w:hAnsi="宋体" w:cs="宋体"/>
          <w:kern w:val="1"/>
          <w:sz w:val="24"/>
        </w:rPr>
      </w:pPr>
      <w:r>
        <w:rPr>
          <w:rFonts w:ascii="宋体" w:hAnsi="宋体" w:cs="宋体"/>
          <w:kern w:val="1"/>
          <w:sz w:val="24"/>
        </w:rPr>
        <w:t>1.附近期(近3个月内的)出厂的质检报告；</w:t>
      </w:r>
    </w:p>
    <w:p>
      <w:pPr>
        <w:widowControl/>
        <w:spacing w:line="400" w:lineRule="exact"/>
        <w:rPr>
          <w:rFonts w:ascii="宋体" w:hAnsi="宋体" w:cs="宋体"/>
          <w:kern w:val="1"/>
          <w:sz w:val="24"/>
        </w:rPr>
      </w:pPr>
      <w:r>
        <w:rPr>
          <w:rFonts w:ascii="宋体" w:hAnsi="宋体" w:cs="宋体"/>
          <w:kern w:val="1"/>
          <w:sz w:val="24"/>
        </w:rPr>
        <w:t>2.附市级/省级/国家级检验报告（</w:t>
      </w:r>
      <w:r>
        <w:rPr>
          <w:rFonts w:hint="eastAsia" w:ascii="宋体" w:hAnsi="宋体" w:cs="宋体"/>
          <w:kern w:val="1"/>
          <w:sz w:val="24"/>
        </w:rPr>
        <w:t>一年</w:t>
      </w:r>
      <w:r>
        <w:rPr>
          <w:rFonts w:ascii="宋体" w:hAnsi="宋体" w:cs="宋体"/>
          <w:kern w:val="1"/>
          <w:sz w:val="24"/>
        </w:rPr>
        <w:t>有效期内的报告）</w:t>
      </w:r>
    </w:p>
    <w:p>
      <w:pPr>
        <w:widowControl/>
        <w:spacing w:line="400" w:lineRule="exact"/>
        <w:jc w:val="center"/>
        <w:rPr>
          <w:rFonts w:ascii="宋体" w:hAnsi="宋体" w:cs="宋体"/>
          <w:b/>
          <w:kern w:val="1"/>
          <w:sz w:val="24"/>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rPr>
          <w:rFonts w:ascii="黑体" w:hAnsi="黑体" w:eastAsia="黑体" w:cs="宋体"/>
          <w:b/>
          <w:kern w:val="1"/>
          <w:sz w:val="28"/>
          <w:szCs w:val="28"/>
        </w:rPr>
      </w:pPr>
    </w:p>
    <w:p>
      <w:pPr>
        <w:pStyle w:val="8"/>
        <w:jc w:val="center"/>
        <w:rPr>
          <w:b/>
          <w:bCs/>
          <w:sz w:val="28"/>
        </w:rPr>
      </w:pPr>
    </w:p>
    <w:p>
      <w:pPr>
        <w:pStyle w:val="5"/>
        <w:bidi w:val="0"/>
        <w:jc w:val="center"/>
      </w:pPr>
      <w:bookmarkStart w:id="63" w:name="_Toc5372"/>
      <w:r>
        <w:rPr>
          <w:rFonts w:hint="eastAsia"/>
        </w:rPr>
        <w:t>十</w:t>
      </w:r>
      <w:r>
        <w:rPr>
          <w:rFonts w:hint="eastAsia"/>
          <w:lang w:val="en-US" w:eastAsia="zh-CN"/>
        </w:rPr>
        <w:t>一</w:t>
      </w:r>
      <w:r>
        <w:rPr>
          <w:rFonts w:hint="eastAsia"/>
        </w:rPr>
        <w:t>、承诺书</w:t>
      </w:r>
      <w:bookmarkEnd w:id="63"/>
    </w:p>
    <w:p>
      <w:pPr>
        <w:pStyle w:val="6"/>
        <w:numPr>
          <w:ilvl w:val="0"/>
          <w:numId w:val="5"/>
        </w:numPr>
        <w:bidi w:val="0"/>
        <w:jc w:val="center"/>
        <w:rPr>
          <w:rFonts w:hint="eastAsia"/>
        </w:rPr>
      </w:pPr>
      <w:r>
        <w:rPr>
          <w:rFonts w:hint="eastAsia"/>
        </w:rPr>
        <w:t>质量承诺书</w:t>
      </w:r>
    </w:p>
    <w:p>
      <w:pPr>
        <w:numPr>
          <w:ilvl w:val="0"/>
          <w:numId w:val="0"/>
        </w:numPr>
      </w:pPr>
    </w:p>
    <w:p>
      <w:pPr>
        <w:ind w:firstLine="480" w:firstLineChars="200"/>
        <w:jc w:val="left"/>
        <w:rPr>
          <w:rFonts w:ascii="宋体" w:hAnsi="宋体" w:cs="宋体"/>
          <w:sz w:val="24"/>
        </w:rPr>
      </w:pPr>
      <w:r>
        <w:rPr>
          <w:kern w:val="1"/>
          <w:sz w:val="24"/>
        </w:rPr>
        <w:t>_________________公司做为</w:t>
      </w:r>
      <w:r>
        <w:rPr>
          <w:rFonts w:hint="eastAsia"/>
          <w:kern w:val="1"/>
          <w:sz w:val="24"/>
          <w:u w:val="single"/>
          <w:lang w:val="en-US" w:eastAsia="zh-CN"/>
        </w:rPr>
        <w:t xml:space="preserve">              材料</w:t>
      </w:r>
      <w:r>
        <w:rPr>
          <w:rFonts w:hint="eastAsia"/>
          <w:kern w:val="1"/>
          <w:sz w:val="24"/>
        </w:rPr>
        <w:t>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numPr>
          <w:ilvl w:val="0"/>
          <w:numId w:val="6"/>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numPr>
          <w:ilvl w:val="0"/>
          <w:numId w:val="7"/>
        </w:numPr>
        <w:spacing w:line="360" w:lineRule="auto"/>
        <w:jc w:val="both"/>
        <w:rPr>
          <w:rFonts w:ascii="宋体" w:hAnsi="宋体" w:cs="宋体"/>
          <w:sz w:val="24"/>
        </w:rPr>
      </w:pPr>
      <w:r>
        <w:rPr>
          <w:rFonts w:hint="eastAsia" w:ascii="宋体" w:hAnsi="宋体" w:cs="宋体"/>
          <w:color w:val="auto"/>
          <w:sz w:val="24"/>
          <w:shd w:val="clear" w:color="auto" w:fill="FFFFFF"/>
        </w:rPr>
        <w:t>供货方向购货方提供合法有效的营业执照、税务登记证及经营生产许可证等必要</w:t>
      </w:r>
      <w:r>
        <w:rPr>
          <w:rFonts w:hint="eastAsia" w:ascii="宋体" w:hAnsi="宋体" w:cs="宋体"/>
          <w:color w:val="auto"/>
          <w:sz w:val="24"/>
          <w:shd w:val="clear" w:color="auto" w:fill="FFFFFF"/>
          <w:lang w:val="en-US" w:eastAsia="zh-CN"/>
        </w:rPr>
        <w:t>件</w:t>
      </w:r>
      <w:r>
        <w:rPr>
          <w:rFonts w:hint="eastAsia" w:ascii="宋体" w:hAnsi="宋体" w:cs="宋体"/>
          <w:color w:val="auto"/>
          <w:sz w:val="24"/>
          <w:shd w:val="clear" w:color="auto" w:fill="FFFFFF"/>
        </w:rPr>
        <w:t>件</w:t>
      </w:r>
      <w:r>
        <w:rPr>
          <w:rFonts w:hint="eastAsia" w:ascii="宋体" w:hAnsi="宋体" w:cs="宋体"/>
          <w:sz w:val="24"/>
        </w:rPr>
        <w:t>。</w:t>
      </w:r>
    </w:p>
    <w:p>
      <w:pPr>
        <w:numPr>
          <w:ilvl w:val="0"/>
          <w:numId w:val="7"/>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numPr>
          <w:ilvl w:val="0"/>
          <w:numId w:val="7"/>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供应货物都有合格的《质量检测报告》和相关的产品合格证,符合国家的相关规定;并保证所有证件真实、合法、有效。</w:t>
      </w:r>
    </w:p>
    <w:p>
      <w:pPr>
        <w:numPr>
          <w:ilvl w:val="0"/>
          <w:numId w:val="6"/>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numPr>
          <w:ilvl w:val="0"/>
          <w:numId w:val="8"/>
        </w:numPr>
        <w:spacing w:line="360" w:lineRule="auto"/>
        <w:jc w:val="left"/>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numPr>
          <w:ilvl w:val="0"/>
          <w:numId w:val="8"/>
        </w:numPr>
        <w:spacing w:line="360" w:lineRule="auto"/>
        <w:jc w:val="left"/>
        <w:rPr>
          <w:rFonts w:ascii="宋体" w:hAnsi="宋体" w:cs="宋体"/>
          <w:sz w:val="24"/>
        </w:rPr>
      </w:pPr>
      <w:r>
        <w:rPr>
          <w:rFonts w:hint="eastAsia" w:ascii="宋体" w:hAnsi="宋体" w:cs="宋体"/>
          <w:sz w:val="24"/>
        </w:rPr>
        <w:t>供货方认可</w:t>
      </w:r>
      <w:r>
        <w:rPr>
          <w:rFonts w:hint="eastAsia" w:ascii="宋体" w:hAnsi="宋体" w:cs="宋体"/>
          <w:color w:val="auto"/>
          <w:sz w:val="24"/>
          <w:shd w:val="clear" w:color="auto" w:fill="FFFFFF"/>
        </w:rPr>
        <w:t>购货方</w:t>
      </w:r>
      <w:r>
        <w:rPr>
          <w:rFonts w:hint="eastAsia" w:ascii="宋体" w:hAnsi="宋体" w:cs="宋体"/>
          <w:sz w:val="24"/>
        </w:rPr>
        <w:t>的货物验收制度和仓库保存条件,并在对供应货物进行验收时,自愿严格遵守购货方的货物验收制度</w:t>
      </w:r>
    </w:p>
    <w:p>
      <w:pPr>
        <w:numPr>
          <w:ilvl w:val="0"/>
          <w:numId w:val="8"/>
        </w:numPr>
        <w:spacing w:line="360" w:lineRule="auto"/>
        <w:jc w:val="left"/>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numPr>
          <w:ilvl w:val="0"/>
          <w:numId w:val="8"/>
        </w:numPr>
        <w:spacing w:line="360" w:lineRule="auto"/>
        <w:jc w:val="left"/>
        <w:rPr>
          <w:rFonts w:ascii="宋体" w:hAnsi="宋体" w:cs="宋体"/>
          <w:sz w:val="24"/>
        </w:rPr>
      </w:pPr>
      <w:r>
        <w:rPr>
          <w:rFonts w:hint="eastAsia" w:ascii="宋体" w:hAnsi="宋体" w:cs="宋体"/>
          <w:sz w:val="24"/>
        </w:rPr>
        <w:t>供货方对通过验收的货物,在购货方投入使用之前,出现相关证照不全、品牌不符及任何质量问题的,供货方承诺无条件退货,并在购货方规定时间内补充合格的货物,否则自愿承担由此造成的损失。</w:t>
      </w:r>
    </w:p>
    <w:p>
      <w:pPr>
        <w:numPr>
          <w:ilvl w:val="0"/>
          <w:numId w:val="8"/>
        </w:numPr>
        <w:spacing w:line="360" w:lineRule="auto"/>
        <w:jc w:val="left"/>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spacing w:line="360" w:lineRule="auto"/>
        <w:ind w:firstLine="480" w:firstLineChars="200"/>
        <w:jc w:val="left"/>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wordWrap w:val="0"/>
        <w:spacing w:line="360" w:lineRule="auto"/>
        <w:ind w:firstLine="3990" w:firstLineChars="1900"/>
        <w:rPr>
          <w:rFonts w:ascii="宋体" w:hAnsi="宋体" w:cs="宋体"/>
          <w:szCs w:val="21"/>
        </w:rPr>
      </w:pPr>
    </w:p>
    <w:p>
      <w:pPr>
        <w:wordWrap w:val="0"/>
        <w:spacing w:line="360" w:lineRule="auto"/>
        <w:ind w:firstLine="4320" w:firstLineChars="1800"/>
        <w:rPr>
          <w:rFonts w:ascii="宋体" w:hAnsi="宋体" w:cs="宋体"/>
          <w:sz w:val="24"/>
        </w:rPr>
      </w:pPr>
      <w:r>
        <w:rPr>
          <w:rFonts w:hint="eastAsia" w:ascii="宋体" w:hAnsi="宋体" w:cs="宋体"/>
          <w:sz w:val="24"/>
        </w:rPr>
        <w:t xml:space="preserve">供货方盖章（盖章）：          </w:t>
      </w:r>
    </w:p>
    <w:tbl>
      <w:tblPr>
        <w:tblStyle w:val="47"/>
        <w:tblW w:w="6090" w:type="dxa"/>
        <w:jc w:val="center"/>
        <w:tblCellSpacing w:w="0" w:type="dxa"/>
        <w:tblLayout w:type="fixed"/>
        <w:tblCellMar>
          <w:top w:w="0" w:type="dxa"/>
          <w:left w:w="0" w:type="dxa"/>
          <w:bottom w:w="0" w:type="dxa"/>
          <w:right w:w="0" w:type="dxa"/>
        </w:tblCellMar>
      </w:tblPr>
      <w:tblGrid>
        <w:gridCol w:w="6090"/>
      </w:tblGrid>
      <w:tr>
        <w:tblPrEx>
          <w:tblCellMar>
            <w:top w:w="0" w:type="dxa"/>
            <w:left w:w="0" w:type="dxa"/>
            <w:bottom w:w="0" w:type="dxa"/>
            <w:right w:w="0" w:type="dxa"/>
          </w:tblCellMar>
        </w:tblPrEx>
        <w:trPr>
          <w:tblCellSpacing w:w="0" w:type="dxa"/>
          <w:jc w:val="center"/>
        </w:trPr>
        <w:tc>
          <w:tcPr>
            <w:tcW w:w="6090" w:type="dxa"/>
            <w:shd w:val="clear" w:color="auto" w:fill="auto"/>
            <w:vAlign w:val="center"/>
          </w:tcPr>
          <w:p>
            <w:pPr>
              <w:pStyle w:val="6"/>
              <w:keepNext w:val="0"/>
              <w:keepLines w:val="0"/>
              <w:wordWrap w:val="0"/>
              <w:autoSpaceDE w:val="0"/>
              <w:spacing w:line="360" w:lineRule="auto"/>
              <w:ind w:firstLine="2640" w:firstLineChars="1100"/>
              <w:rPr>
                <w:sz w:val="24"/>
                <w:szCs w:val="24"/>
              </w:rPr>
            </w:pPr>
            <w:r>
              <w:rPr>
                <w:rFonts w:hint="eastAsia"/>
                <w:b w:val="0"/>
                <w:kern w:val="2"/>
                <w:sz w:val="24"/>
                <w:szCs w:val="24"/>
              </w:rPr>
              <w:t>法人或委托代理人签字</w:t>
            </w:r>
            <w:r>
              <w:rPr>
                <w:b w:val="0"/>
                <w:kern w:val="2"/>
                <w:sz w:val="24"/>
                <w:szCs w:val="24"/>
              </w:rPr>
              <w:t>：</w:t>
            </w:r>
          </w:p>
        </w:tc>
      </w:tr>
    </w:tbl>
    <w:p>
      <w:pPr>
        <w:wordWrap w:val="0"/>
        <w:spacing w:line="360" w:lineRule="auto"/>
        <w:ind w:firstLine="3990" w:firstLineChars="1900"/>
        <w:rPr>
          <w:sz w:val="24"/>
        </w:rPr>
      </w:pPr>
      <w:r>
        <w:rPr>
          <w:rFonts w:hint="eastAsia" w:ascii="宋体" w:hAnsi="宋体" w:cs="宋体"/>
          <w:szCs w:val="21"/>
        </w:rPr>
        <w:t xml:space="preserve">         年  月   日   </w:t>
      </w: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rPr>
          <w:rFonts w:ascii="宋体" w:hAnsi="宋体"/>
          <w:szCs w:val="21"/>
        </w:rPr>
      </w:pPr>
      <w:r>
        <w:rPr>
          <w:rFonts w:ascii="宋体" w:hAnsi="宋体"/>
          <w:szCs w:val="21"/>
        </w:rPr>
        <w:br w:type="page"/>
      </w:r>
    </w:p>
    <w:p>
      <w:pPr>
        <w:pStyle w:val="6"/>
        <w:bidi w:val="0"/>
        <w:jc w:val="center"/>
        <w:rPr>
          <w:lang w:val="en-US"/>
        </w:rPr>
      </w:pPr>
      <w:r>
        <w:rPr>
          <w:rFonts w:hint="eastAsia"/>
          <w:lang w:val="en-US"/>
        </w:rPr>
        <w:t>2.售后服务承诺书</w:t>
      </w:r>
    </w:p>
    <w:p>
      <w:pPr>
        <w:bidi w:val="0"/>
      </w:pPr>
      <w:r>
        <w:t>售后服务承诺书中应包括：</w:t>
      </w:r>
    </w:p>
    <w:p>
      <w:pPr>
        <w:bidi w:val="0"/>
      </w:pPr>
      <w:r>
        <w:rPr>
          <w:rFonts w:hint="eastAsia"/>
        </w:rPr>
        <w:t xml:space="preserve"> 1、单位</w:t>
      </w:r>
      <w:r>
        <w:t>简介；2、售后服务承诺； 3、质保期内、外的保修方式和情况；4、就近售后服务网点及近期业绩主要用户名单（包括单位名称、产品名称、规格型号、联系人、联系电话等）；5、售后服务响应时间及到达用户维修现场时间；6、售后服务保障组织力量等各投标人认为还需补充的内容。</w:t>
      </w:r>
    </w:p>
    <w:p>
      <w:pPr>
        <w:spacing w:line="600" w:lineRule="exact"/>
        <w:rPr>
          <w:spacing w:val="-2"/>
          <w:kern w:val="1"/>
          <w:sz w:val="24"/>
        </w:rPr>
      </w:pPr>
      <w:r>
        <w:rPr>
          <w:spacing w:val="-2"/>
          <w:kern w:val="1"/>
          <w:sz w:val="24"/>
        </w:rPr>
        <w:t xml:space="preserve">                     </w:t>
      </w: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pStyle w:val="2"/>
        <w:tabs>
          <w:tab w:val="left" w:pos="8760"/>
        </w:tabs>
        <w:spacing w:line="340" w:lineRule="auto"/>
        <w:ind w:right="625" w:firstLine="2884" w:firstLineChars="1400"/>
        <w:jc w:val="center"/>
        <w:rPr>
          <w:spacing w:val="29"/>
        </w:rPr>
      </w:pP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p>
    <w:p>
      <w:pPr>
        <w:pStyle w:val="2"/>
        <w:tabs>
          <w:tab w:val="left" w:pos="8879"/>
        </w:tabs>
        <w:spacing w:line="340" w:lineRule="auto"/>
        <w:ind w:right="625" w:firstLine="3605" w:firstLineChars="1750"/>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jc w:val="center"/>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600" w:lineRule="exact"/>
        <w:rPr>
          <w:rFonts w:ascii="宋体" w:hAnsi="宋体" w:cs="宋体"/>
          <w:kern w:val="1"/>
          <w:sz w:val="24"/>
        </w:rPr>
      </w:pPr>
    </w:p>
    <w:p>
      <w:pPr>
        <w:spacing w:line="500" w:lineRule="exact"/>
        <w:ind w:firstLine="6006"/>
        <w:rPr>
          <w:rFonts w:ascii="宋体" w:hAnsi="宋体" w:cs="宋体"/>
          <w:kern w:val="1"/>
          <w:sz w:val="24"/>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r>
        <w:br w:type="page"/>
      </w:r>
    </w:p>
    <w:p>
      <w:pPr>
        <w:pStyle w:val="4"/>
        <w:bidi w:val="0"/>
      </w:pPr>
      <w:bookmarkStart w:id="64" w:name="_Toc23417"/>
      <w:r>
        <w:t>第</w:t>
      </w:r>
      <w:r>
        <w:rPr>
          <w:rFonts w:hint="eastAsia"/>
        </w:rPr>
        <w:t>四</w:t>
      </w:r>
      <w:r>
        <w:t xml:space="preserve">部分  </w:t>
      </w:r>
      <w:bookmarkEnd w:id="56"/>
      <w:bookmarkEnd w:id="57"/>
      <w:r>
        <w:t>中标通知书</w:t>
      </w:r>
      <w:bookmarkEnd w:id="64"/>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（中标人名称）：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你方于</w:t>
      </w:r>
      <w:r>
        <w:rPr>
          <w:rFonts w:ascii="宋体" w:hAnsi="宋体"/>
          <w:sz w:val="24"/>
          <w:u w:val="single"/>
        </w:rPr>
        <w:t xml:space="preserve"> </w:t>
      </w:r>
      <w:r>
        <w:rPr>
          <w:rFonts w:ascii="宋体" w:hAnsi="宋体"/>
          <w:sz w:val="24"/>
          <w:u w:val="single"/>
        </w:rPr>
        <w:tab/>
      </w:r>
      <w:r>
        <w:rPr>
          <w:rFonts w:ascii="宋体" w:hAnsi="宋体"/>
          <w:sz w:val="24"/>
        </w:rPr>
        <w:t>（投标日期）所递交的</w:t>
      </w:r>
      <w:r>
        <w:rPr>
          <w:rFonts w:ascii="宋体" w:hAnsi="宋体"/>
          <w:sz w:val="24"/>
          <w:u w:val="single"/>
        </w:rPr>
        <w:t xml:space="preserve"> </w:t>
      </w:r>
      <w:r>
        <w:rPr>
          <w:rFonts w:ascii="宋体" w:hAnsi="宋体"/>
          <w:sz w:val="24"/>
          <w:u w:val="single"/>
        </w:rPr>
        <w:tab/>
      </w:r>
      <w:r>
        <w:rPr>
          <w:rFonts w:ascii="宋体" w:hAnsi="宋体"/>
          <w:sz w:val="24"/>
        </w:rPr>
        <w:t>（项目名称）投标文件已被我方接受，被确定为中标人。</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中标价：</w:t>
      </w:r>
      <w:r>
        <w:rPr>
          <w:rFonts w:ascii="宋体" w:hAnsi="宋体"/>
          <w:sz w:val="24"/>
          <w:u w:val="single"/>
        </w:rPr>
        <w:t xml:space="preserve"> </w:t>
      </w:r>
      <w:r>
        <w:rPr>
          <w:rFonts w:ascii="宋体" w:hAnsi="宋体"/>
          <w:sz w:val="24"/>
          <w:u w:val="single"/>
        </w:rPr>
        <w:tab/>
      </w:r>
      <w:r>
        <w:rPr>
          <w:rFonts w:ascii="宋体" w:hAnsi="宋体"/>
          <w:sz w:val="24"/>
        </w:rPr>
        <w:t xml:space="preserve">元。 </w:t>
      </w: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rPr>
        <w:t xml:space="preserve">中标范围及内容：   </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 xml:space="preserve">请你方在接到本通知书后的 </w:t>
      </w:r>
      <w:r>
        <w:rPr>
          <w:rFonts w:ascii="宋体" w:hAnsi="宋体"/>
          <w:sz w:val="24"/>
          <w:u w:val="single"/>
        </w:rPr>
        <w:tab/>
      </w:r>
      <w:r>
        <w:rPr>
          <w:rFonts w:ascii="宋体" w:hAnsi="宋体"/>
          <w:sz w:val="24"/>
        </w:rPr>
        <w:t xml:space="preserve">日内到 </w:t>
      </w:r>
      <w:r>
        <w:rPr>
          <w:rFonts w:ascii="宋体" w:hAnsi="宋体"/>
          <w:sz w:val="24"/>
          <w:u w:val="single"/>
        </w:rPr>
        <w:tab/>
      </w:r>
      <w:r>
        <w:rPr>
          <w:rFonts w:ascii="宋体" w:hAnsi="宋体"/>
          <w:sz w:val="24"/>
        </w:rPr>
        <w:t>（详细地点）与我方签订合同协议书。</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ind w:firstLine="4410" w:firstLineChars="2100"/>
      </w:pPr>
      <w:r>
        <w:t xml:space="preserve">招标人： </w:t>
      </w:r>
      <w:r>
        <w:tab/>
      </w:r>
      <w:r>
        <w:t xml:space="preserve">（盖单位章） </w:t>
      </w:r>
      <w:r>
        <w:rPr>
          <w:rFonts w:hint="eastAsia"/>
        </w:rPr>
        <w:t xml:space="preserve"> </w:t>
      </w:r>
    </w:p>
    <w:p>
      <w:pPr>
        <w:pStyle w:val="2"/>
      </w:pPr>
    </w:p>
    <w:p>
      <w:pPr>
        <w:pStyle w:val="2"/>
      </w:pPr>
    </w:p>
    <w:p>
      <w:pPr>
        <w:pStyle w:val="2"/>
        <w:ind w:firstLine="6930" w:firstLineChars="3300"/>
      </w:pPr>
      <w:r>
        <w:t>年</w:t>
      </w:r>
      <w:r>
        <w:tab/>
      </w:r>
      <w:r>
        <w:t>月</w:t>
      </w:r>
      <w:r>
        <w:tab/>
      </w:r>
      <w:r>
        <w:t>日</w:t>
      </w:r>
    </w:p>
    <w:p>
      <w:pPr>
        <w:spacing w:line="360" w:lineRule="auto"/>
        <w:ind w:firstLine="480" w:firstLineChars="200"/>
        <w:rPr>
          <w:sz w:val="24"/>
        </w:rPr>
      </w:pPr>
    </w:p>
    <w:p>
      <w:pPr>
        <w:spacing w:line="360" w:lineRule="auto"/>
        <w:ind w:firstLine="480" w:firstLineChars="200"/>
        <w:rPr>
          <w:sz w:val="24"/>
        </w:rPr>
      </w:pPr>
    </w:p>
    <w:p>
      <w:pPr>
        <w:widowControl/>
        <w:spacing w:line="520" w:lineRule="exact"/>
        <w:jc w:val="center"/>
        <w:rPr>
          <w:b/>
          <w:kern w:val="1"/>
          <w:sz w:val="30"/>
          <w:szCs w:val="30"/>
        </w:rPr>
      </w:pPr>
      <w:bookmarkStart w:id="65" w:name="OLE_LINK3"/>
      <w:bookmarkEnd w:id="65"/>
      <w:bookmarkStart w:id="66" w:name="_Toc459219430"/>
    </w:p>
    <w:p>
      <w:pPr>
        <w:widowControl/>
        <w:spacing w:line="520" w:lineRule="exact"/>
        <w:jc w:val="center"/>
        <w:rPr>
          <w:b/>
          <w:kern w:val="1"/>
          <w:sz w:val="30"/>
          <w:szCs w:val="30"/>
        </w:rPr>
      </w:pPr>
      <w:bookmarkStart w:id="67" w:name="_Toc459843319"/>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pStyle w:val="2"/>
      </w:pPr>
    </w:p>
    <w:p>
      <w:pPr>
        <w:pStyle w:val="2"/>
      </w:pPr>
    </w:p>
    <w:p>
      <w:pPr>
        <w:pStyle w:val="2"/>
      </w:pPr>
    </w:p>
    <w:p>
      <w:pPr>
        <w:widowControl/>
        <w:spacing w:line="520" w:lineRule="exact"/>
        <w:jc w:val="center"/>
        <w:rPr>
          <w:b/>
          <w:kern w:val="1"/>
          <w:sz w:val="30"/>
          <w:szCs w:val="30"/>
        </w:rPr>
      </w:pPr>
    </w:p>
    <w:p/>
    <w:p>
      <w:pPr>
        <w:pStyle w:val="4"/>
        <w:bidi w:val="0"/>
      </w:pPr>
      <w:bookmarkStart w:id="68" w:name="_Toc22579"/>
      <w:r>
        <w:rPr>
          <w:rFonts w:hint="eastAsia"/>
        </w:rPr>
        <w:t>第</w:t>
      </w:r>
      <w:r>
        <w:rPr>
          <w:rFonts w:hint="eastAsia"/>
          <w:lang w:val="en-US" w:eastAsia="zh-CN"/>
        </w:rPr>
        <w:t>五</w:t>
      </w:r>
      <w:r>
        <w:rPr>
          <w:rFonts w:hint="eastAsia"/>
        </w:rPr>
        <w:t>部分 评标标准</w:t>
      </w:r>
      <w:bookmarkEnd w:id="66"/>
      <w:bookmarkEnd w:id="67"/>
      <w:bookmarkEnd w:id="68"/>
    </w:p>
    <w:p>
      <w:pPr>
        <w:pStyle w:val="5"/>
        <w:bidi w:val="0"/>
        <w:rPr>
          <w:rFonts w:hint="default"/>
        </w:rPr>
      </w:pPr>
      <w:bookmarkStart w:id="69" w:name="_Toc28709"/>
      <w:r>
        <w:rPr>
          <w:rFonts w:hint="default"/>
        </w:rPr>
        <w:t>一、评标办法</w:t>
      </w:r>
      <w:bookmarkEnd w:id="69"/>
    </w:p>
    <w:p>
      <w:pPr>
        <w:spacing w:beforeLines="0" w:afterLines="0" w:line="380" w:lineRule="exact"/>
        <w:ind w:firstLine="480" w:firstLineChars="200"/>
        <w:rPr>
          <w:rFonts w:hint="default" w:ascii="宋体" w:hAnsi="宋体" w:eastAsia="宋体"/>
          <w:sz w:val="24"/>
        </w:rPr>
      </w:pPr>
      <w:r>
        <w:rPr>
          <w:rFonts w:hint="default" w:ascii="宋体" w:hAnsi="宋体" w:eastAsia="宋体"/>
          <w:sz w:val="24"/>
        </w:rPr>
        <w:t>1.本次</w:t>
      </w:r>
      <w:r>
        <w:rPr>
          <w:rFonts w:hint="eastAsia" w:ascii="宋体" w:hAnsi="宋体" w:eastAsia="宋体"/>
          <w:sz w:val="24"/>
          <w:lang w:val="en-US" w:eastAsia="zh-CN"/>
        </w:rPr>
        <w:t>投标</w:t>
      </w:r>
      <w:r>
        <w:rPr>
          <w:rFonts w:hint="default" w:ascii="宋体" w:hAnsi="宋体" w:eastAsia="宋体"/>
          <w:sz w:val="24"/>
        </w:rPr>
        <w:t>评标采用综合评分法，即在响应</w:t>
      </w:r>
      <w:r>
        <w:rPr>
          <w:rFonts w:hint="eastAsia" w:ascii="宋体" w:hAnsi="宋体" w:eastAsia="宋体"/>
          <w:sz w:val="24"/>
          <w:lang w:eastAsia="zh-CN"/>
        </w:rPr>
        <w:t>招标</w:t>
      </w:r>
      <w:r>
        <w:rPr>
          <w:rFonts w:hint="default" w:ascii="宋体" w:hAnsi="宋体" w:eastAsia="宋体"/>
          <w:sz w:val="24"/>
        </w:rPr>
        <w:t>文件实质性要求前提下，按照</w:t>
      </w:r>
      <w:r>
        <w:rPr>
          <w:rFonts w:hint="eastAsia" w:ascii="宋体" w:hAnsi="宋体" w:eastAsia="宋体"/>
          <w:sz w:val="24"/>
          <w:lang w:eastAsia="zh-CN"/>
        </w:rPr>
        <w:t>招标</w:t>
      </w:r>
      <w:r>
        <w:rPr>
          <w:rFonts w:hint="default" w:ascii="宋体" w:hAnsi="宋体" w:eastAsia="宋体"/>
          <w:sz w:val="24"/>
        </w:rPr>
        <w:t>文件中规定的评分标准和各项因素进行综合评审。根据综合得分排名确定中选单位。</w:t>
      </w:r>
    </w:p>
    <w:p>
      <w:pPr>
        <w:spacing w:beforeLines="0" w:afterLines="0" w:line="380" w:lineRule="exact"/>
        <w:ind w:firstLine="480" w:firstLineChars="200"/>
        <w:rPr>
          <w:rFonts w:hint="default" w:ascii="宋体" w:hAnsi="宋体" w:eastAsia="宋体"/>
          <w:sz w:val="24"/>
        </w:rPr>
      </w:pPr>
      <w:r>
        <w:rPr>
          <w:rFonts w:hint="default" w:ascii="宋体" w:hAnsi="宋体" w:eastAsia="宋体"/>
          <w:sz w:val="24"/>
        </w:rPr>
        <w:t>2.评标委员会各成员独立对每个进入打分程序的有效</w:t>
      </w:r>
      <w:r>
        <w:rPr>
          <w:rFonts w:hint="eastAsia" w:ascii="宋体" w:hAnsi="宋体" w:eastAsia="宋体"/>
          <w:sz w:val="24"/>
          <w:lang w:val="en-US" w:eastAsia="zh-CN"/>
        </w:rPr>
        <w:t>投标</w:t>
      </w:r>
      <w:r>
        <w:rPr>
          <w:rFonts w:hint="default" w:ascii="宋体" w:hAnsi="宋体" w:eastAsia="宋体"/>
          <w:sz w:val="24"/>
        </w:rPr>
        <w:t>人的标书技术和资质部分以打分的形式进行评审和评价。</w:t>
      </w:r>
    </w:p>
    <w:p>
      <w:pPr>
        <w:spacing w:beforeLines="0" w:afterLines="0" w:line="380" w:lineRule="exact"/>
        <w:ind w:firstLine="480" w:firstLineChars="200"/>
        <w:rPr>
          <w:rFonts w:hint="default"/>
        </w:rPr>
      </w:pPr>
      <w:r>
        <w:rPr>
          <w:rFonts w:hint="default" w:ascii="宋体" w:hAnsi="宋体" w:eastAsia="宋体" w:cs="Times New Roman"/>
          <w:b w:val="0"/>
          <w:color w:val="000000"/>
          <w:sz w:val="24"/>
          <w:szCs w:val="24"/>
          <w:lang w:val="en-US" w:eastAsia="zh-CN" w:bidi="ar-SA"/>
        </w:rPr>
        <w:t>3、</w:t>
      </w:r>
      <w:r>
        <w:rPr>
          <w:rFonts w:hint="eastAsia" w:ascii="宋体" w:hAnsi="宋体" w:eastAsia="宋体" w:cs="Times New Roman"/>
          <w:b w:val="0"/>
          <w:color w:val="000000"/>
          <w:sz w:val="24"/>
          <w:szCs w:val="24"/>
          <w:lang w:val="en-US" w:eastAsia="zh-CN" w:bidi="ar-SA"/>
        </w:rPr>
        <w:t>投标报价以第三轮报价为准。</w:t>
      </w:r>
    </w:p>
    <w:p>
      <w:pPr>
        <w:pStyle w:val="5"/>
        <w:bidi w:val="0"/>
        <w:rPr>
          <w:rFonts w:hint="default"/>
        </w:rPr>
      </w:pPr>
      <w:bookmarkStart w:id="70" w:name="_Toc16863"/>
      <w:r>
        <w:rPr>
          <w:rFonts w:hint="eastAsia"/>
          <w:lang w:val="en-US" w:eastAsia="zh-CN"/>
        </w:rPr>
        <w:t>二、</w:t>
      </w:r>
      <w:r>
        <w:rPr>
          <w:rFonts w:hint="default"/>
        </w:rPr>
        <w:t>评分标准</w:t>
      </w:r>
      <w:bookmarkEnd w:id="70"/>
    </w:p>
    <w:tbl>
      <w:tblPr>
        <w:tblStyle w:val="47"/>
        <w:tblW w:w="4991" w:type="pct"/>
        <w:tblInd w:w="0" w:type="dxa"/>
        <w:shd w:val="clear" w:color="auto" w:fill="auto"/>
        <w:tblLayout w:type="autofit"/>
        <w:tblCellMar>
          <w:top w:w="0" w:type="dxa"/>
          <w:left w:w="108" w:type="dxa"/>
          <w:bottom w:w="0" w:type="dxa"/>
          <w:right w:w="108" w:type="dxa"/>
        </w:tblCellMar>
      </w:tblPr>
      <w:tblGrid>
        <w:gridCol w:w="650"/>
        <w:gridCol w:w="805"/>
        <w:gridCol w:w="872"/>
        <w:gridCol w:w="942"/>
        <w:gridCol w:w="6398"/>
      </w:tblGrid>
      <w:tr>
        <w:tblPrEx>
          <w:tblCellMar>
            <w:top w:w="0" w:type="dxa"/>
            <w:left w:w="108" w:type="dxa"/>
            <w:bottom w:w="0" w:type="dxa"/>
            <w:right w:w="108" w:type="dxa"/>
          </w:tblCellMar>
        </w:tblPrEx>
        <w:trPr>
          <w:trHeight w:val="600" w:hRule="atLeast"/>
        </w:trPr>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pPr>
            <w:r>
              <w:rPr>
                <w:rFonts w:hint="eastAsia"/>
                <w:lang w:val="en-US" w:eastAsia="zh-CN"/>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rPr>
            </w:pPr>
            <w:r>
              <w:rPr>
                <w:rFonts w:hint="eastAsia"/>
                <w:lang w:val="en-US" w:eastAsia="zh-CN"/>
              </w:rPr>
              <w:t>项目</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rPr>
            </w:pPr>
            <w:r>
              <w:rPr>
                <w:rFonts w:hint="eastAsia"/>
                <w:lang w:val="en-US" w:eastAsia="zh-CN"/>
              </w:rPr>
              <w:t>评分因 素</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满分</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rPr>
            </w:pPr>
            <w:r>
              <w:rPr>
                <w:rFonts w:hint="eastAsia"/>
                <w:lang w:val="en-US" w:eastAsia="zh-CN"/>
              </w:rPr>
              <w:t>评审标准</w:t>
            </w:r>
          </w:p>
        </w:tc>
      </w:tr>
      <w:tr>
        <w:tblPrEx>
          <w:shd w:val="clear" w:color="auto" w:fill="auto"/>
          <w:tblCellMar>
            <w:top w:w="0" w:type="dxa"/>
            <w:left w:w="108" w:type="dxa"/>
            <w:bottom w:w="0" w:type="dxa"/>
            <w:right w:w="108" w:type="dxa"/>
          </w:tblCellMar>
        </w:tblPrEx>
        <w:trPr>
          <w:trHeight w:val="2797" w:hRule="atLeast"/>
        </w:trPr>
        <w:tc>
          <w:tcPr>
            <w:tcW w:w="336" w:type="pct"/>
            <w:vMerge w:val="restart"/>
            <w:tcBorders>
              <w:top w:val="single" w:color="000000" w:sz="4" w:space="0"/>
              <w:left w:val="single" w:color="000000" w:sz="4" w:space="0"/>
              <w:right w:val="single" w:color="000000" w:sz="4" w:space="0"/>
            </w:tcBorders>
            <w:shd w:val="clear" w:color="auto" w:fill="auto"/>
            <w:vAlign w:val="center"/>
          </w:tcPr>
          <w:p>
            <w:pPr>
              <w:bidi w:val="0"/>
              <w:rPr>
                <w:rFonts w:hint="eastAsia"/>
              </w:rPr>
            </w:pPr>
            <w:r>
              <w:rPr>
                <w:rFonts w:hint="eastAsia"/>
                <w:lang w:val="en-US" w:eastAsia="zh-CN"/>
              </w:rPr>
              <w:t>1</w:t>
            </w:r>
          </w:p>
        </w:tc>
        <w:tc>
          <w:tcPr>
            <w:tcW w:w="416" w:type="pct"/>
            <w:vMerge w:val="restart"/>
            <w:tcBorders>
              <w:top w:val="single" w:color="000000" w:sz="4" w:space="0"/>
              <w:left w:val="single" w:color="000000" w:sz="4" w:space="0"/>
              <w:right w:val="single" w:color="000000" w:sz="4" w:space="0"/>
            </w:tcBorders>
            <w:shd w:val="clear" w:color="auto" w:fill="auto"/>
            <w:vAlign w:val="center"/>
          </w:tcPr>
          <w:p>
            <w:pPr>
              <w:bidi w:val="0"/>
              <w:rPr>
                <w:rFonts w:hint="eastAsia"/>
              </w:rPr>
            </w:pPr>
            <w:r>
              <w:rPr>
                <w:rFonts w:hint="eastAsia"/>
                <w:lang w:val="en-US" w:eastAsia="zh-CN"/>
              </w:rPr>
              <w:t>商务部分（80分）</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rPr>
            </w:pPr>
            <w:r>
              <w:rPr>
                <w:rFonts w:hint="eastAsia"/>
                <w:lang w:val="en-US" w:eastAsia="zh-CN"/>
              </w:rPr>
              <w:t>报价</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50</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1、基准价计算：</w:t>
            </w:r>
          </w:p>
          <w:p>
            <w:pPr>
              <w:bidi w:val="0"/>
              <w:rPr>
                <w:rFonts w:hint="eastAsia"/>
                <w:lang w:val="en-US" w:eastAsia="zh-CN"/>
              </w:rPr>
            </w:pPr>
            <w:r>
              <w:rPr>
                <w:rFonts w:hint="eastAsia"/>
                <w:lang w:val="en-US" w:eastAsia="zh-CN"/>
              </w:rPr>
              <w:t>（1）若投标人≥5 家，基准价为去掉一个最高价、去掉一个最低价的平均值；</w:t>
            </w:r>
          </w:p>
          <w:p>
            <w:pPr>
              <w:bidi w:val="0"/>
              <w:rPr>
                <w:rFonts w:hint="eastAsia"/>
                <w:lang w:val="en-US" w:eastAsia="zh-CN"/>
              </w:rPr>
            </w:pPr>
            <w:r>
              <w:rPr>
                <w:rFonts w:hint="eastAsia"/>
                <w:lang w:val="en-US" w:eastAsia="zh-CN"/>
              </w:rPr>
              <w:t>（2）若投标人＜5 家，基准价为投标人报价的平均值。</w:t>
            </w:r>
          </w:p>
          <w:p>
            <w:pPr>
              <w:bidi w:val="0"/>
              <w:rPr>
                <w:rFonts w:hint="eastAsia"/>
                <w:lang w:val="en-US" w:eastAsia="zh-CN"/>
              </w:rPr>
            </w:pPr>
            <w:r>
              <w:rPr>
                <w:rFonts w:hint="eastAsia"/>
                <w:lang w:val="en-US" w:eastAsia="zh-CN"/>
              </w:rPr>
              <w:t>2、最优报价：本次招标以基准价下浮7%作为最优报价。</w:t>
            </w:r>
          </w:p>
          <w:p>
            <w:pPr>
              <w:bidi w:val="0"/>
              <w:rPr>
                <w:rFonts w:hint="eastAsia"/>
                <w:lang w:val="en-US" w:eastAsia="zh-CN"/>
              </w:rPr>
            </w:pPr>
            <w:r>
              <w:rPr>
                <w:rFonts w:hint="eastAsia"/>
                <w:lang w:val="en-US" w:eastAsia="zh-CN"/>
              </w:rPr>
              <w:t>3、评分标准：</w:t>
            </w:r>
          </w:p>
          <w:p>
            <w:pPr>
              <w:bidi w:val="0"/>
              <w:rPr>
                <w:rFonts w:hint="eastAsia"/>
                <w:lang w:val="en-US" w:eastAsia="zh-CN"/>
              </w:rPr>
            </w:pPr>
            <w:r>
              <w:rPr>
                <w:rFonts w:hint="eastAsia"/>
                <w:lang w:val="en-US" w:eastAsia="zh-CN"/>
              </w:rPr>
              <w:t>（1）投标报价＝最优报价，得满分；</w:t>
            </w:r>
          </w:p>
          <w:p>
            <w:pPr>
              <w:bidi w:val="0"/>
              <w:rPr>
                <w:rFonts w:hint="default"/>
                <w:lang w:val="en-US"/>
              </w:rPr>
            </w:pPr>
            <w:r>
              <w:rPr>
                <w:rFonts w:hint="eastAsia"/>
                <w:lang w:val="en-US" w:eastAsia="zh-CN"/>
              </w:rPr>
              <w:t>（2）投标报价每高于最优报价1%，减2分；每低于最优报价1%，减1分。</w:t>
            </w:r>
          </w:p>
        </w:tc>
      </w:tr>
      <w:tr>
        <w:tblPrEx>
          <w:shd w:val="clear" w:color="auto" w:fill="auto"/>
          <w:tblCellMar>
            <w:top w:w="0" w:type="dxa"/>
            <w:left w:w="108" w:type="dxa"/>
            <w:bottom w:w="0" w:type="dxa"/>
            <w:right w:w="108" w:type="dxa"/>
          </w:tblCellMar>
        </w:tblPrEx>
        <w:trPr>
          <w:trHeight w:val="987" w:hRule="atLeast"/>
        </w:trPr>
        <w:tc>
          <w:tcPr>
            <w:tcW w:w="336" w:type="pct"/>
            <w:vMerge w:val="continue"/>
            <w:tcBorders>
              <w:left w:val="single" w:color="000000" w:sz="4" w:space="0"/>
              <w:right w:val="single" w:color="000000" w:sz="4" w:space="0"/>
            </w:tcBorders>
            <w:shd w:val="clear" w:color="auto" w:fill="auto"/>
            <w:vAlign w:val="center"/>
          </w:tcPr>
          <w:p>
            <w:pPr>
              <w:bidi w:val="0"/>
              <w:rPr>
                <w:rFonts w:hint="eastAsia"/>
                <w:lang w:val="en-US" w:eastAsia="zh-CN"/>
              </w:rPr>
            </w:pPr>
          </w:p>
        </w:tc>
        <w:tc>
          <w:tcPr>
            <w:tcW w:w="416" w:type="pct"/>
            <w:vMerge w:val="continue"/>
            <w:tcBorders>
              <w:left w:val="single" w:color="000000" w:sz="4" w:space="0"/>
              <w:right w:val="single" w:color="000000" w:sz="4" w:space="0"/>
            </w:tcBorders>
            <w:shd w:val="clear" w:color="auto" w:fill="auto"/>
            <w:vAlign w:val="center"/>
          </w:tcPr>
          <w:p>
            <w:pPr>
              <w:bidi w:val="0"/>
              <w:rPr>
                <w:rFonts w:hint="eastAsia"/>
                <w:lang w:val="en-US" w:eastAsia="zh-CN"/>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lang w:val="en-US" w:eastAsia="zh-CN"/>
              </w:rPr>
            </w:pPr>
            <w:r>
              <w:rPr>
                <w:rFonts w:hint="eastAsia"/>
                <w:lang w:val="en-US" w:eastAsia="zh-CN"/>
              </w:rPr>
              <w:t>付款方式</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10</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1、基本付款方式：</w:t>
            </w:r>
          </w:p>
          <w:p>
            <w:pPr>
              <w:bidi w:val="0"/>
              <w:rPr>
                <w:rFonts w:hint="eastAsia"/>
                <w:lang w:val="en-US" w:eastAsia="zh-CN"/>
              </w:rPr>
            </w:pPr>
            <w:r>
              <w:rPr>
                <w:rFonts w:hint="eastAsia"/>
                <w:lang w:val="en-US" w:eastAsia="zh-CN"/>
              </w:rPr>
              <w:t>（1）甲方收到货物后无质量问题90天内支付乙方合同总金额95%货款（以电子银行承兑方式支付）。</w:t>
            </w:r>
          </w:p>
          <w:p>
            <w:pPr>
              <w:bidi w:val="0"/>
              <w:rPr>
                <w:rFonts w:hint="eastAsia"/>
                <w:lang w:val="en-US" w:eastAsia="zh-CN"/>
              </w:rPr>
            </w:pPr>
            <w:r>
              <w:rPr>
                <w:rFonts w:hint="eastAsia"/>
                <w:lang w:val="en-US" w:eastAsia="zh-CN"/>
              </w:rPr>
              <w:t>（2）质保金为合同总额的7%，验收合格后一年，无质量问题一次性无息支付。</w:t>
            </w:r>
          </w:p>
          <w:p>
            <w:pPr>
              <w:bidi w:val="0"/>
              <w:rPr>
                <w:rFonts w:hint="eastAsia"/>
                <w:lang w:val="en-US" w:eastAsia="zh-CN"/>
              </w:rPr>
            </w:pPr>
            <w:r>
              <w:rPr>
                <w:rFonts w:hint="eastAsia"/>
                <w:lang w:val="en-US" w:eastAsia="zh-CN"/>
              </w:rPr>
              <w:t>2、评分标准：</w:t>
            </w:r>
          </w:p>
          <w:p>
            <w:pPr>
              <w:bidi w:val="0"/>
              <w:rPr>
                <w:rFonts w:hint="eastAsia"/>
                <w:lang w:val="en-US" w:eastAsia="zh-CN"/>
              </w:rPr>
            </w:pPr>
            <w:r>
              <w:rPr>
                <w:rFonts w:hint="eastAsia"/>
                <w:lang w:val="en-US" w:eastAsia="zh-CN"/>
              </w:rPr>
              <w:t>1）、符合基本付款方式，得5分；</w:t>
            </w:r>
          </w:p>
          <w:p>
            <w:pPr>
              <w:bidi w:val="0"/>
              <w:rPr>
                <w:rFonts w:hint="eastAsia"/>
                <w:lang w:val="en-US" w:eastAsia="zh-CN"/>
              </w:rPr>
            </w:pPr>
            <w:r>
              <w:rPr>
                <w:rFonts w:hint="eastAsia"/>
                <w:lang w:val="en-US" w:eastAsia="zh-CN"/>
              </w:rPr>
              <w:t>2）、相较基本付款方式，其他条件不变，账期每增加30天，加1分；</w:t>
            </w:r>
          </w:p>
          <w:p>
            <w:pPr>
              <w:bidi w:val="0"/>
              <w:rPr>
                <w:rFonts w:hint="default"/>
                <w:lang w:val="en-US" w:eastAsia="zh-CN"/>
              </w:rPr>
            </w:pPr>
            <w:r>
              <w:rPr>
                <w:rFonts w:hint="eastAsia"/>
                <w:lang w:val="en-US" w:eastAsia="zh-CN"/>
              </w:rPr>
              <w:t>3）、相较基本付款方式，其他条件不变，账期每减少30天，减2分；</w:t>
            </w:r>
          </w:p>
        </w:tc>
      </w:tr>
      <w:tr>
        <w:tblPrEx>
          <w:shd w:val="clear" w:color="auto" w:fill="auto"/>
          <w:tblCellMar>
            <w:top w:w="0" w:type="dxa"/>
            <w:left w:w="108" w:type="dxa"/>
            <w:bottom w:w="0" w:type="dxa"/>
            <w:right w:w="108" w:type="dxa"/>
          </w:tblCellMar>
        </w:tblPrEx>
        <w:trPr>
          <w:trHeight w:val="312" w:hRule="atLeast"/>
        </w:trPr>
        <w:tc>
          <w:tcPr>
            <w:tcW w:w="336" w:type="pct"/>
            <w:vMerge w:val="continue"/>
            <w:tcBorders>
              <w:left w:val="single" w:color="000000" w:sz="4" w:space="0"/>
              <w:right w:val="single" w:color="000000" w:sz="4" w:space="0"/>
            </w:tcBorders>
            <w:shd w:val="clear" w:color="auto" w:fill="auto"/>
            <w:vAlign w:val="center"/>
          </w:tcPr>
          <w:p>
            <w:pPr>
              <w:bidi w:val="0"/>
              <w:rPr>
                <w:rFonts w:hint="eastAsia"/>
                <w:lang w:val="en-US" w:eastAsia="zh-CN"/>
              </w:rPr>
            </w:pPr>
          </w:p>
        </w:tc>
        <w:tc>
          <w:tcPr>
            <w:tcW w:w="416" w:type="pct"/>
            <w:vMerge w:val="continue"/>
            <w:tcBorders>
              <w:left w:val="single" w:color="000000" w:sz="4" w:space="0"/>
              <w:right w:val="single" w:color="000000" w:sz="4" w:space="0"/>
            </w:tcBorders>
            <w:shd w:val="clear" w:color="auto" w:fill="auto"/>
            <w:vAlign w:val="center"/>
          </w:tcPr>
          <w:p>
            <w:pPr>
              <w:bidi w:val="0"/>
              <w:rPr>
                <w:rFonts w:hint="eastAsia"/>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lang w:val="en-US" w:eastAsia="zh-CN"/>
              </w:rPr>
            </w:pPr>
            <w:r>
              <w:rPr>
                <w:rFonts w:hint="eastAsia"/>
                <w:lang w:val="en-US" w:eastAsia="zh-CN"/>
              </w:rPr>
              <w:t>资质证书</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5</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1、提供营业执照（副本）原件，现场查验，标书中提供复印件（加盖公章）：</w:t>
            </w:r>
          </w:p>
          <w:p>
            <w:pPr>
              <w:bidi w:val="0"/>
              <w:rPr>
                <w:rFonts w:hint="eastAsia"/>
                <w:lang w:val="en-US" w:eastAsia="zh-CN"/>
              </w:rPr>
            </w:pPr>
            <w:r>
              <w:rPr>
                <w:rFonts w:hint="eastAsia"/>
                <w:lang w:val="en-US" w:eastAsia="zh-CN"/>
              </w:rPr>
              <w:t>（1）注册资本金：1000-2000万元（不含），得1分；</w:t>
            </w:r>
          </w:p>
          <w:p>
            <w:pPr>
              <w:bidi w:val="0"/>
              <w:rPr>
                <w:rFonts w:hint="eastAsia"/>
                <w:lang w:val="en-US" w:eastAsia="zh-CN"/>
              </w:rPr>
            </w:pPr>
            <w:r>
              <w:rPr>
                <w:rFonts w:hint="eastAsia"/>
                <w:lang w:val="en-US" w:eastAsia="zh-CN"/>
              </w:rPr>
              <w:t>（2）注册资本金：2000-4000万元（不含），得2分；</w:t>
            </w:r>
          </w:p>
          <w:p>
            <w:pPr>
              <w:bidi w:val="0"/>
              <w:rPr>
                <w:rFonts w:hint="eastAsia"/>
                <w:lang w:val="en-US" w:eastAsia="zh-CN"/>
              </w:rPr>
            </w:pPr>
            <w:r>
              <w:rPr>
                <w:rFonts w:hint="eastAsia"/>
                <w:lang w:val="en-US" w:eastAsia="zh-CN"/>
              </w:rPr>
              <w:t>（3）注册资本金：5000万元以上（不含），得3分；</w:t>
            </w:r>
          </w:p>
          <w:p>
            <w:pPr>
              <w:bidi w:val="0"/>
              <w:rPr>
                <w:rFonts w:hint="eastAsia"/>
                <w:lang w:val="en-US" w:eastAsia="zh-CN"/>
              </w:rPr>
            </w:pPr>
            <w:r>
              <w:rPr>
                <w:rFonts w:hint="eastAsia"/>
                <w:lang w:val="en-US" w:eastAsia="zh-CN"/>
              </w:rPr>
              <w:t>2、有效期内三体系认证证书（ISO9001认证）齐全，得1.5分，每缺少一项减0.5分，</w:t>
            </w:r>
          </w:p>
          <w:p>
            <w:pPr>
              <w:pStyle w:val="2"/>
              <w:rPr>
                <w:rFonts w:hint="default"/>
                <w:lang w:val="en-US" w:eastAsia="zh-CN"/>
              </w:rPr>
            </w:pPr>
            <w:r>
              <w:rPr>
                <w:rFonts w:hint="eastAsia"/>
                <w:lang w:val="en-US" w:eastAsia="zh-CN"/>
              </w:rPr>
              <w:t>3、有其它与招标产品相关证书（专利或特种许可证书等），增加0.5分。</w:t>
            </w:r>
          </w:p>
        </w:tc>
      </w:tr>
      <w:tr>
        <w:tblPrEx>
          <w:shd w:val="clear" w:color="auto" w:fill="auto"/>
          <w:tblCellMar>
            <w:top w:w="0" w:type="dxa"/>
            <w:left w:w="108" w:type="dxa"/>
            <w:bottom w:w="0" w:type="dxa"/>
            <w:right w:w="108" w:type="dxa"/>
          </w:tblCellMar>
        </w:tblPrEx>
        <w:trPr>
          <w:trHeight w:val="2323" w:hRule="atLeast"/>
        </w:trPr>
        <w:tc>
          <w:tcPr>
            <w:tcW w:w="336" w:type="pct"/>
            <w:vMerge w:val="continue"/>
            <w:tcBorders>
              <w:left w:val="single" w:color="000000" w:sz="4" w:space="0"/>
              <w:right w:val="single" w:color="000000" w:sz="4" w:space="0"/>
            </w:tcBorders>
            <w:shd w:val="clear" w:color="auto" w:fill="auto"/>
            <w:vAlign w:val="center"/>
          </w:tcPr>
          <w:p>
            <w:pPr>
              <w:bidi w:val="0"/>
              <w:rPr>
                <w:rFonts w:hint="eastAsia"/>
                <w:lang w:val="en-US" w:eastAsia="zh-CN"/>
              </w:rPr>
            </w:pPr>
          </w:p>
        </w:tc>
        <w:tc>
          <w:tcPr>
            <w:tcW w:w="416" w:type="pct"/>
            <w:vMerge w:val="continue"/>
            <w:tcBorders>
              <w:left w:val="single" w:color="000000" w:sz="4" w:space="0"/>
              <w:right w:val="single" w:color="000000" w:sz="4" w:space="0"/>
            </w:tcBorders>
            <w:shd w:val="clear" w:color="auto" w:fill="auto"/>
            <w:vAlign w:val="center"/>
          </w:tcPr>
          <w:p>
            <w:pPr>
              <w:bidi w:val="0"/>
              <w:rPr>
                <w:rFonts w:hint="eastAsia"/>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lang w:val="en-US" w:eastAsia="zh-CN"/>
              </w:rPr>
            </w:pPr>
            <w:r>
              <w:rPr>
                <w:rFonts w:hint="eastAsia"/>
                <w:lang w:val="en-US" w:eastAsia="zh-CN"/>
              </w:rPr>
              <w:t>财务状况</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5</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（1）投标人连续三年资产负责率为40%-50%、公司净利润连续三年增长率超过40%，得5分；</w:t>
            </w:r>
          </w:p>
          <w:p>
            <w:pPr>
              <w:bidi w:val="0"/>
              <w:rPr>
                <w:rFonts w:hint="eastAsia"/>
                <w:lang w:val="en-US" w:eastAsia="zh-CN"/>
              </w:rPr>
            </w:pPr>
            <w:r>
              <w:rPr>
                <w:rFonts w:hint="eastAsia"/>
                <w:lang w:val="en-US" w:eastAsia="zh-CN"/>
              </w:rPr>
              <w:t>（2）投标人连续三年资产负责率为50%-70%、公司净利润连续三年增长率为20%-40%，得3分；</w:t>
            </w:r>
          </w:p>
          <w:p>
            <w:pPr>
              <w:bidi w:val="0"/>
              <w:rPr>
                <w:rFonts w:hint="default"/>
                <w:lang w:val="en-US" w:eastAsia="zh-CN"/>
              </w:rPr>
            </w:pPr>
            <w:r>
              <w:rPr>
                <w:rFonts w:hint="eastAsia"/>
                <w:lang w:val="en-US" w:eastAsia="zh-CN"/>
              </w:rPr>
              <w:t>（3）投标人连续三年资产负责率超过70%，公司净利润连续三年增长率低于20%，得2分；</w:t>
            </w:r>
            <w:r>
              <w:rPr>
                <w:rFonts w:hint="eastAsia"/>
                <w:lang w:val="en-US" w:eastAsia="zh-CN"/>
              </w:rPr>
              <w:br w:type="textWrapping"/>
            </w:r>
            <w:r>
              <w:rPr>
                <w:rFonts w:hint="eastAsia"/>
                <w:lang w:val="en-US" w:eastAsia="zh-CN"/>
              </w:rPr>
              <w:t>（4）投标人财务状况较差，得0分。</w:t>
            </w:r>
          </w:p>
        </w:tc>
      </w:tr>
      <w:tr>
        <w:tblPrEx>
          <w:shd w:val="clear" w:color="auto" w:fill="auto"/>
          <w:tblCellMar>
            <w:top w:w="0" w:type="dxa"/>
            <w:left w:w="108" w:type="dxa"/>
            <w:bottom w:w="0" w:type="dxa"/>
            <w:right w:w="108" w:type="dxa"/>
          </w:tblCellMar>
        </w:tblPrEx>
        <w:trPr>
          <w:trHeight w:val="1270" w:hRule="atLeast"/>
        </w:trPr>
        <w:tc>
          <w:tcPr>
            <w:tcW w:w="336" w:type="pct"/>
            <w:vMerge w:val="continue"/>
            <w:tcBorders>
              <w:left w:val="single" w:color="000000" w:sz="4" w:space="0"/>
              <w:bottom w:val="single" w:color="auto" w:sz="4" w:space="0"/>
              <w:right w:val="single" w:color="000000" w:sz="4" w:space="0"/>
            </w:tcBorders>
            <w:shd w:val="clear" w:color="auto" w:fill="auto"/>
            <w:vAlign w:val="center"/>
          </w:tcPr>
          <w:p>
            <w:pPr>
              <w:bidi w:val="0"/>
              <w:rPr>
                <w:rFonts w:hint="eastAsia"/>
              </w:rPr>
            </w:pPr>
          </w:p>
        </w:tc>
        <w:tc>
          <w:tcPr>
            <w:tcW w:w="416" w:type="pct"/>
            <w:vMerge w:val="continue"/>
            <w:tcBorders>
              <w:left w:val="single" w:color="000000" w:sz="4" w:space="0"/>
              <w:bottom w:val="single" w:color="auto" w:sz="4" w:space="0"/>
              <w:right w:val="single" w:color="000000" w:sz="4" w:space="0"/>
            </w:tcBorders>
            <w:shd w:val="clear" w:color="auto" w:fill="auto"/>
            <w:vAlign w:val="center"/>
          </w:tcPr>
          <w:p>
            <w:pPr>
              <w:bidi w:val="0"/>
              <w:rPr>
                <w:rFonts w:hint="eastAsia"/>
              </w:rPr>
            </w:pPr>
          </w:p>
        </w:tc>
        <w:tc>
          <w:tcPr>
            <w:tcW w:w="451" w:type="pct"/>
            <w:tcBorders>
              <w:top w:val="single" w:color="000000" w:sz="4" w:space="0"/>
              <w:left w:val="single" w:color="000000" w:sz="4" w:space="0"/>
              <w:bottom w:val="single" w:color="auto" w:sz="4" w:space="0"/>
              <w:right w:val="single" w:color="000000" w:sz="4" w:space="0"/>
            </w:tcBorders>
            <w:shd w:val="clear" w:color="auto" w:fill="auto"/>
            <w:vAlign w:val="center"/>
          </w:tcPr>
          <w:p>
            <w:pPr>
              <w:bidi w:val="0"/>
              <w:rPr>
                <w:rFonts w:hint="eastAsia"/>
              </w:rPr>
            </w:pPr>
            <w:r>
              <w:rPr>
                <w:rFonts w:hint="eastAsia"/>
                <w:lang w:val="en-US" w:eastAsia="zh-CN"/>
              </w:rPr>
              <w:t>业绩</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3</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提供近三年签订的业绩，每项业绩资料包含合同和验收移交文件原件，合同金额应≥400万，每提供一项业绩得1分，最高得3分。</w:t>
            </w:r>
          </w:p>
        </w:tc>
      </w:tr>
      <w:tr>
        <w:tblPrEx>
          <w:tblCellMar>
            <w:top w:w="0" w:type="dxa"/>
            <w:left w:w="108" w:type="dxa"/>
            <w:bottom w:w="0" w:type="dxa"/>
            <w:right w:w="108" w:type="dxa"/>
          </w:tblCellMar>
        </w:tblPrEx>
        <w:trPr>
          <w:trHeight w:val="3780" w:hRule="atLeast"/>
        </w:trPr>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rPr>
            </w:pP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rPr>
            </w:pPr>
          </w:p>
        </w:tc>
        <w:tc>
          <w:tcPr>
            <w:tcW w:w="451" w:type="pct"/>
            <w:tcBorders>
              <w:top w:val="single" w:color="auto" w:sz="4" w:space="0"/>
              <w:left w:val="single" w:color="auto" w:sz="4" w:space="0"/>
              <w:bottom w:val="single" w:color="auto" w:sz="4" w:space="0"/>
              <w:right w:val="single" w:color="auto" w:sz="4" w:space="0"/>
            </w:tcBorders>
            <w:shd w:val="clear" w:color="auto" w:fill="auto"/>
            <w:vAlign w:val="center"/>
          </w:tcPr>
          <w:p>
            <w:pPr>
              <w:bidi w:val="0"/>
              <w:jc w:val="left"/>
              <w:rPr>
                <w:rFonts w:hint="eastAsia"/>
                <w:lang w:val="en-US" w:eastAsia="zh-CN"/>
              </w:rPr>
            </w:pPr>
            <w:r>
              <w:rPr>
                <w:rFonts w:hint="eastAsia"/>
                <w:lang w:val="en-US" w:eastAsia="zh-CN"/>
              </w:rPr>
              <w:t>供货保障</w:t>
            </w:r>
          </w:p>
        </w:tc>
        <w:tc>
          <w:tcPr>
            <w:tcW w:w="487" w:type="pct"/>
            <w:tcBorders>
              <w:top w:val="single" w:color="000000" w:sz="4" w:space="0"/>
              <w:left w:val="single" w:color="auto" w:sz="4" w:space="0"/>
              <w:bottom w:val="single" w:color="000000" w:sz="4" w:space="0"/>
              <w:right w:val="single" w:color="000000" w:sz="4" w:space="0"/>
            </w:tcBorders>
            <w:shd w:val="clear" w:color="auto" w:fill="auto"/>
            <w:vAlign w:val="center"/>
          </w:tcPr>
          <w:p>
            <w:pPr>
              <w:bidi w:val="0"/>
              <w:rPr>
                <w:rFonts w:hint="eastAsia"/>
                <w:lang w:val="en-US" w:eastAsia="zh-CN"/>
              </w:rPr>
            </w:pPr>
            <w:r>
              <w:rPr>
                <w:rFonts w:hint="eastAsia"/>
                <w:lang w:val="en-US" w:eastAsia="zh-CN"/>
              </w:rPr>
              <w:t>7</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9"/>
              </w:numPr>
              <w:bidi w:val="0"/>
              <w:rPr>
                <w:rFonts w:hint="eastAsia"/>
                <w:lang w:val="en-US" w:eastAsia="zh-CN"/>
              </w:rPr>
            </w:pPr>
            <w:r>
              <w:rPr>
                <w:rFonts w:hint="eastAsia"/>
                <w:lang w:val="en-US" w:eastAsia="zh-CN"/>
              </w:rPr>
              <w:t>收到招标人发货通知后3日内可组织供货并具备有招标材料数量10%的库存，具有能够按照项目需求完成供货的生产能力。得7分；</w:t>
            </w:r>
            <w:r>
              <w:rPr>
                <w:rFonts w:hint="eastAsia"/>
                <w:lang w:val="en-US" w:eastAsia="zh-CN"/>
              </w:rPr>
              <w:br w:type="textWrapping"/>
            </w:r>
            <w:r>
              <w:rPr>
                <w:rFonts w:hint="eastAsia"/>
                <w:lang w:val="en-US" w:eastAsia="zh-CN"/>
              </w:rPr>
              <w:t>2、收到招标人发货通知后3日内可组织供货并具备有招标材料数量10%的安全库存，具有能够按照项目需求完成供货的生产能力。得6分；</w:t>
            </w:r>
            <w:r>
              <w:rPr>
                <w:rFonts w:hint="eastAsia"/>
                <w:lang w:val="en-US" w:eastAsia="zh-CN"/>
              </w:rPr>
              <w:br w:type="textWrapping"/>
            </w:r>
            <w:r>
              <w:rPr>
                <w:rFonts w:hint="eastAsia"/>
                <w:lang w:val="en-US" w:eastAsia="zh-CN"/>
              </w:rPr>
              <w:t>3、收到招标人发货通知后5日内可组织供货并具备有招标材料数量5%的安全库存，具有能够按照项目需求完成供货的生产能力。得4分；</w:t>
            </w:r>
          </w:p>
          <w:p>
            <w:pPr>
              <w:numPr>
                <w:ilvl w:val="0"/>
                <w:numId w:val="0"/>
              </w:numPr>
              <w:bidi w:val="0"/>
              <w:rPr>
                <w:rFonts w:hint="eastAsia"/>
                <w:lang w:val="en-US" w:eastAsia="zh-CN"/>
              </w:rPr>
            </w:pPr>
            <w:r>
              <w:rPr>
                <w:rFonts w:hint="eastAsia"/>
                <w:lang w:val="en-US" w:eastAsia="zh-CN"/>
              </w:rPr>
              <w:t>3、收到招标人发货通知后5日内可组织供货，并具有能够按照项目需求完成供货的生产能力。得2分；</w:t>
            </w:r>
          </w:p>
          <w:p>
            <w:pPr>
              <w:numPr>
                <w:ilvl w:val="0"/>
                <w:numId w:val="10"/>
              </w:numPr>
              <w:bidi w:val="0"/>
              <w:rPr>
                <w:rFonts w:hint="eastAsia"/>
                <w:lang w:val="en-US" w:eastAsia="zh-CN"/>
              </w:rPr>
            </w:pPr>
            <w:r>
              <w:rPr>
                <w:rFonts w:hint="eastAsia"/>
                <w:lang w:val="en-US" w:eastAsia="zh-CN"/>
              </w:rPr>
              <w:t>收到招标人发货通知后7日内可组织供货但无库存，具有能够按照项目需求完成供货的生产能力。得1分；</w:t>
            </w:r>
          </w:p>
          <w:p>
            <w:pPr>
              <w:pStyle w:val="2"/>
              <w:numPr>
                <w:ilvl w:val="0"/>
                <w:numId w:val="10"/>
              </w:numPr>
              <w:rPr>
                <w:rFonts w:hint="default"/>
                <w:lang w:val="en-US" w:eastAsia="zh-CN"/>
              </w:rPr>
            </w:pPr>
            <w:r>
              <w:rPr>
                <w:rFonts w:hint="eastAsia"/>
                <w:lang w:val="en-US" w:eastAsia="zh-CN"/>
              </w:rPr>
              <w:t>不具备供货生产能力，得0分</w:t>
            </w:r>
          </w:p>
        </w:tc>
      </w:tr>
      <w:tr>
        <w:tblPrEx>
          <w:shd w:val="clear" w:color="auto" w:fill="auto"/>
          <w:tblCellMar>
            <w:top w:w="0" w:type="dxa"/>
            <w:left w:w="108" w:type="dxa"/>
            <w:bottom w:w="0" w:type="dxa"/>
            <w:right w:w="108" w:type="dxa"/>
          </w:tblCellMar>
        </w:tblPrEx>
        <w:trPr>
          <w:trHeight w:val="624" w:hRule="atLeast"/>
        </w:trPr>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lang w:val="en-US" w:eastAsia="zh-CN"/>
              </w:rPr>
            </w:pPr>
            <w:r>
              <w:rPr>
                <w:rFonts w:hint="eastAsia"/>
                <w:lang w:val="en-US" w:eastAsia="zh-CN"/>
              </w:rPr>
              <w:t>2</w:t>
            </w:r>
          </w:p>
        </w:tc>
        <w:tc>
          <w:tcPr>
            <w:tcW w:w="4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rPr>
            </w:pPr>
            <w:r>
              <w:rPr>
                <w:rFonts w:hint="eastAsia"/>
                <w:lang w:val="en-US" w:eastAsia="zh-CN"/>
              </w:rPr>
              <w:t>技术部分（20分）</w:t>
            </w:r>
          </w:p>
        </w:tc>
        <w:tc>
          <w:tcPr>
            <w:tcW w:w="451"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bidi w:val="0"/>
              <w:jc w:val="left"/>
              <w:rPr>
                <w:rFonts w:hint="default"/>
                <w:lang w:val="en-US" w:eastAsia="zh-CN"/>
              </w:rPr>
            </w:pPr>
            <w:r>
              <w:rPr>
                <w:rFonts w:hint="eastAsia"/>
                <w:lang w:val="en-US" w:eastAsia="zh-CN"/>
              </w:rPr>
              <w:t>技术要求</w:t>
            </w:r>
          </w:p>
        </w:tc>
        <w:tc>
          <w:tcPr>
            <w:tcW w:w="487" w:type="pct"/>
            <w:vMerge w:val="restart"/>
            <w:tcBorders>
              <w:top w:val="single" w:color="000000" w:sz="4" w:space="0"/>
              <w:left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10</w:t>
            </w:r>
          </w:p>
        </w:tc>
        <w:tc>
          <w:tcPr>
            <w:tcW w:w="3308" w:type="pct"/>
            <w:tcBorders>
              <w:top w:val="single" w:color="000000" w:sz="4" w:space="0"/>
              <w:left w:val="single" w:color="000000" w:sz="4" w:space="0"/>
              <w:right w:val="single" w:color="000000" w:sz="4" w:space="0"/>
            </w:tcBorders>
            <w:shd w:val="clear" w:color="auto" w:fill="auto"/>
            <w:vAlign w:val="center"/>
          </w:tcPr>
          <w:p>
            <w:pPr>
              <w:bidi w:val="0"/>
              <w:rPr>
                <w:rFonts w:hint="eastAsia"/>
                <w:lang w:val="en-US" w:eastAsia="zh-CN"/>
              </w:rPr>
            </w:pPr>
            <w:r>
              <w:rPr>
                <w:rFonts w:hint="default"/>
                <w:lang w:val="en-US" w:eastAsia="zh-CN"/>
              </w:rPr>
              <w:t>第一标段</w:t>
            </w:r>
            <w:r>
              <w:rPr>
                <w:rFonts w:hint="eastAsia"/>
                <w:lang w:val="en-US" w:eastAsia="zh-CN"/>
              </w:rPr>
              <w:t>材料满足技术要求：</w:t>
            </w:r>
            <w:r>
              <w:rPr>
                <w:rFonts w:hint="eastAsia"/>
                <w:lang w:val="en-US" w:eastAsia="zh-CN"/>
              </w:rPr>
              <w:br w:type="textWrapping"/>
            </w:r>
            <w:r>
              <w:rPr>
                <w:rFonts w:hint="eastAsia"/>
                <w:lang w:val="en-US" w:eastAsia="zh-CN"/>
              </w:rPr>
              <w:t>PCP预应力钢筋混凝土管：完全符合《GB 5696-2006》要求及具体招标文件中的技术要求，并能够提供招标材料内相同规格的省级以上检测单位出具的检测报告。得10分</w:t>
            </w:r>
          </w:p>
          <w:p>
            <w:pPr>
              <w:pStyle w:val="2"/>
              <w:rPr>
                <w:rFonts w:hint="default"/>
                <w:lang w:val="en-US" w:eastAsia="zh-CN"/>
              </w:rPr>
            </w:pPr>
            <w:r>
              <w:rPr>
                <w:rFonts w:hint="eastAsia"/>
                <w:lang w:val="en-US" w:eastAsia="zh-CN"/>
              </w:rPr>
              <w:t>完全符合《GB 5696-2006》要求及具体招标文件中的技术要求，并能够提供招标材料内相近规格的省级以上检测单位出具的检测报告。得8分</w:t>
            </w:r>
          </w:p>
        </w:tc>
      </w:tr>
      <w:tr>
        <w:tblPrEx>
          <w:shd w:val="clear" w:color="auto" w:fill="auto"/>
          <w:tblCellMar>
            <w:top w:w="0" w:type="dxa"/>
            <w:left w:w="108" w:type="dxa"/>
            <w:bottom w:w="0" w:type="dxa"/>
            <w:right w:w="108" w:type="dxa"/>
          </w:tblCellMar>
        </w:tblPrEx>
        <w:trPr>
          <w:trHeight w:val="312" w:hRule="atLeast"/>
        </w:trPr>
        <w:tc>
          <w:tcPr>
            <w:tcW w:w="336"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bidi w:val="0"/>
              <w:rPr>
                <w:rFonts w:hint="eastAsia"/>
              </w:rPr>
            </w:pPr>
          </w:p>
        </w:tc>
        <w:tc>
          <w:tcPr>
            <w:tcW w:w="41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bidi w:val="0"/>
              <w:rPr>
                <w:rFonts w:hint="eastAsia"/>
              </w:rPr>
            </w:pPr>
          </w:p>
        </w:tc>
        <w:tc>
          <w:tcPr>
            <w:tcW w:w="451"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bidi w:val="0"/>
              <w:rPr>
                <w:rFonts w:hint="default"/>
                <w:lang w:val="en-US" w:eastAsia="zh-CN"/>
              </w:rPr>
            </w:pPr>
          </w:p>
        </w:tc>
        <w:tc>
          <w:tcPr>
            <w:tcW w:w="487" w:type="pct"/>
            <w:vMerge w:val="continue"/>
            <w:tcBorders>
              <w:left w:val="single" w:color="000000" w:sz="4" w:space="0"/>
              <w:right w:val="single" w:color="000000" w:sz="4" w:space="0"/>
            </w:tcBorders>
            <w:shd w:val="clear" w:color="auto" w:fill="auto"/>
            <w:vAlign w:val="center"/>
          </w:tcPr>
          <w:p>
            <w:pPr>
              <w:bidi w:val="0"/>
              <w:rPr>
                <w:rFonts w:hint="eastAsia"/>
                <w:lang w:val="en-US" w:eastAsia="zh-CN"/>
              </w:rPr>
            </w:pPr>
          </w:p>
        </w:tc>
        <w:tc>
          <w:tcPr>
            <w:tcW w:w="3308" w:type="pct"/>
            <w:tcBorders>
              <w:top w:val="single" w:color="000000" w:sz="4" w:space="0"/>
              <w:left w:val="single" w:color="000000" w:sz="4" w:space="0"/>
              <w:right w:val="single" w:color="000000" w:sz="4" w:space="0"/>
            </w:tcBorders>
            <w:shd w:val="clear" w:color="auto" w:fill="auto"/>
            <w:vAlign w:val="center"/>
          </w:tcPr>
          <w:p>
            <w:pPr>
              <w:bidi w:val="0"/>
              <w:rPr>
                <w:rFonts w:hint="eastAsia"/>
                <w:lang w:val="en-US" w:eastAsia="zh-CN"/>
              </w:rPr>
            </w:pPr>
            <w:r>
              <w:rPr>
                <w:rFonts w:hint="default"/>
                <w:lang w:val="en-US" w:eastAsia="zh-CN"/>
              </w:rPr>
              <w:t>第</w:t>
            </w:r>
            <w:r>
              <w:rPr>
                <w:rFonts w:hint="eastAsia"/>
                <w:lang w:val="en-US" w:eastAsia="zh-CN"/>
              </w:rPr>
              <w:t>二</w:t>
            </w:r>
            <w:r>
              <w:rPr>
                <w:rFonts w:hint="default"/>
                <w:lang w:val="en-US" w:eastAsia="zh-CN"/>
              </w:rPr>
              <w:t>标段</w:t>
            </w:r>
            <w:r>
              <w:rPr>
                <w:rFonts w:hint="eastAsia"/>
                <w:lang w:val="en-US" w:eastAsia="zh-CN"/>
              </w:rPr>
              <w:t>材料满足技术要求：</w:t>
            </w:r>
            <w:r>
              <w:rPr>
                <w:rFonts w:hint="eastAsia"/>
                <w:lang w:val="en-US" w:eastAsia="zh-CN"/>
              </w:rPr>
              <w:br w:type="textWrapping"/>
            </w:r>
            <w:r>
              <w:rPr>
                <w:rFonts w:hint="eastAsia"/>
                <w:lang w:val="en-US" w:eastAsia="zh-CN"/>
              </w:rPr>
              <w:t>钢丝网骨架复合PE管及管件：完全符合《GB/T32439-2015》要求及具体招标文件中的技术要求，并能够提供招标材料内相同规格的省级以上检测单位出具的检测报告。得10分</w:t>
            </w:r>
          </w:p>
          <w:p>
            <w:pPr>
              <w:bidi w:val="0"/>
              <w:rPr>
                <w:rFonts w:hint="default"/>
                <w:lang w:val="en-US" w:eastAsia="zh-CN"/>
              </w:rPr>
            </w:pPr>
            <w:r>
              <w:rPr>
                <w:rFonts w:hint="eastAsia"/>
                <w:lang w:val="en-US" w:eastAsia="zh-CN"/>
              </w:rPr>
              <w:t>完全符合《GB/T32439-2015》要求及具体招标文件中的技术要求，并能够提供招标材料内相近规格的省级以上检测单位出具的检测报告。得8分</w:t>
            </w:r>
          </w:p>
        </w:tc>
      </w:tr>
      <w:tr>
        <w:tblPrEx>
          <w:shd w:val="clear" w:color="auto" w:fill="auto"/>
          <w:tblCellMar>
            <w:top w:w="0" w:type="dxa"/>
            <w:left w:w="108" w:type="dxa"/>
            <w:bottom w:w="0" w:type="dxa"/>
            <w:right w:w="108" w:type="dxa"/>
          </w:tblCellMar>
        </w:tblPrEx>
        <w:trPr>
          <w:trHeight w:val="624" w:hRule="atLeast"/>
        </w:trPr>
        <w:tc>
          <w:tcPr>
            <w:tcW w:w="336"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bidi w:val="0"/>
              <w:rPr>
                <w:rFonts w:hint="eastAsia"/>
              </w:rPr>
            </w:pPr>
          </w:p>
        </w:tc>
        <w:tc>
          <w:tcPr>
            <w:tcW w:w="41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bidi w:val="0"/>
              <w:rPr>
                <w:rFonts w:hint="eastAsia"/>
              </w:rPr>
            </w:pPr>
          </w:p>
        </w:tc>
        <w:tc>
          <w:tcPr>
            <w:tcW w:w="451" w:type="pct"/>
            <w:tcBorders>
              <w:top w:val="single" w:color="auto" w:sz="4" w:space="0"/>
              <w:left w:val="single" w:color="auto" w:sz="4" w:space="0"/>
              <w:bottom w:val="single" w:color="000000" w:sz="4" w:space="0"/>
              <w:right w:val="single" w:color="000000" w:sz="4" w:space="0"/>
            </w:tcBorders>
            <w:shd w:val="clear" w:color="auto" w:fill="auto"/>
            <w:vAlign w:val="center"/>
          </w:tcPr>
          <w:p>
            <w:pPr>
              <w:bidi w:val="0"/>
              <w:jc w:val="left"/>
              <w:rPr>
                <w:rFonts w:hint="default"/>
                <w:lang w:val="en-US" w:eastAsia="zh-CN"/>
              </w:rPr>
            </w:pPr>
            <w:r>
              <w:rPr>
                <w:rFonts w:hint="eastAsia"/>
                <w:lang w:val="en-US" w:eastAsia="zh-CN"/>
              </w:rPr>
              <w:t>服务支持与技术培训</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10</w:t>
            </w:r>
          </w:p>
        </w:tc>
        <w:tc>
          <w:tcPr>
            <w:tcW w:w="3308" w:type="pct"/>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lang w:val="en-US" w:eastAsia="zh-CN"/>
              </w:rPr>
            </w:pPr>
            <w:r>
              <w:rPr>
                <w:rFonts w:hint="eastAsia"/>
                <w:lang w:val="en-US" w:eastAsia="zh-CN"/>
              </w:rPr>
              <w:t>具有本地化服务能力，能够提供材料安装、维护及操作培训并能免费提供必要的材料安装设备。提供服务承诺书，说明服务流程、响应时间及人员安排，设备操作说明书及培训，安装设备使用期限。根据服务承诺评分，有一问题扣2分，直至0分</w:t>
            </w:r>
          </w:p>
        </w:tc>
      </w:tr>
    </w:tbl>
    <w:p/>
    <w:p>
      <w:pPr>
        <w:spacing w:line="360" w:lineRule="exact"/>
        <w:jc w:val="left"/>
        <w:rPr>
          <w:rFonts w:ascii="宋体" w:hAnsi="宋体" w:cs="宋体"/>
          <w:kern w:val="1"/>
          <w:sz w:val="24"/>
        </w:rPr>
      </w:pPr>
    </w:p>
    <w:sectPr>
      <w:headerReference r:id="rId6" w:type="default"/>
      <w:footerReference r:id="rId7" w:type="default"/>
      <w:pgSz w:w="11906" w:h="16838"/>
      <w:pgMar w:top="1418" w:right="1134" w:bottom="1418" w:left="1134" w:header="340" w:footer="170" w:gutter="17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680" w:firstLineChars="2600"/>
    </w:pPr>
  </w:p>
  <w:p>
    <w:pPr>
      <w:pStyle w:val="30"/>
      <w:ind w:firstLine="4680" w:firstLineChars="2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680" w:firstLineChars="2600"/>
    </w:pPr>
  </w:p>
  <w:p>
    <w:pPr>
      <w:pStyle w:val="30"/>
      <w:ind w:firstLine="4680" w:firstLineChars="26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29</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Q02S9UAAAADAQAADwAAAAAAAAABACAA&#10;AAAiAAAAZHJzL2Rvd25yZXYueG1sUEsBAhQAFAAAAAgAh07iQLBv7ojXAQAApAMAAA4AAAAAAAAA&#10;AQAgAAAAJAEAAGRycy9lMm9Eb2MueG1sUEsFBgAAAAAGAAYAWQEAAG0FAAAAAA==&#10;">
              <v:fill on="f" focussize="0,0"/>
              <v:stroke on="f" weight="1.2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29</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eastAsia="宋体"/>
        <w:lang w:val="en-US" w:eastAsia="zh-CN"/>
      </w:rPr>
    </w:pPr>
    <w:r>
      <w:drawing>
        <wp:inline distT="0" distB="0" distL="0" distR="0">
          <wp:extent cx="400050" cy="361950"/>
          <wp:effectExtent l="19050" t="0" r="0" b="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大禹节水招标文件                                                      标号：DYCG-2021-B-0</w:t>
    </w:r>
    <w:r>
      <w:rPr>
        <w:rFonts w:hint="eastAsia"/>
        <w:lang w:val="en-US" w:eastAsia="zh-CN"/>
      </w:rPr>
      <w:t>9</w:t>
    </w:r>
    <w:r>
      <w:rPr>
        <w:rFonts w:hint="eastAsia"/>
      </w:rPr>
      <w:t>-0</w:t>
    </w:r>
    <w:r>
      <w:rPr>
        <w:rFonts w:hint="eastAsia"/>
        <w:lang w:val="en-US"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eastAsia="宋体"/>
        <w:lang w:eastAsia="zh-CN"/>
      </w:rPr>
    </w:pPr>
    <w:r>
      <w:drawing>
        <wp:inline distT="0" distB="0" distL="0" distR="0">
          <wp:extent cx="400050" cy="361950"/>
          <wp:effectExtent l="19050" t="0" r="0" b="0"/>
          <wp:docPr id="4" name="图片 1"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大禹节水公司招标文件                                                 标号：</w:t>
    </w:r>
    <w:r>
      <w:rPr>
        <w:rFonts w:hint="eastAsia"/>
        <w:lang w:eastAsia="zh-CN"/>
      </w:rPr>
      <w:t>DYCG-2021-B-08-01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756A"/>
    <w:multiLevelType w:val="singleLevel"/>
    <w:tmpl w:val="98AE756A"/>
    <w:lvl w:ilvl="0" w:tentative="0">
      <w:start w:val="1"/>
      <w:numFmt w:val="decimal"/>
      <w:lvlText w:val="%1."/>
      <w:lvlJc w:val="left"/>
      <w:pPr>
        <w:ind w:left="425" w:hanging="425"/>
      </w:pPr>
      <w:rPr>
        <w:rFonts w:hint="default"/>
      </w:rPr>
    </w:lvl>
  </w:abstractNum>
  <w:abstractNum w:abstractNumId="1">
    <w:nsid w:val="ABFEBCE5"/>
    <w:multiLevelType w:val="singleLevel"/>
    <w:tmpl w:val="ABFEBCE5"/>
    <w:lvl w:ilvl="0" w:tentative="0">
      <w:start w:val="4"/>
      <w:numFmt w:val="decimal"/>
      <w:suff w:val="nothing"/>
      <w:lvlText w:val="%1、"/>
      <w:lvlJc w:val="left"/>
    </w:lvl>
  </w:abstractNum>
  <w:abstractNum w:abstractNumId="2">
    <w:nsid w:val="AFCB73AB"/>
    <w:multiLevelType w:val="singleLevel"/>
    <w:tmpl w:val="AFCB73AB"/>
    <w:lvl w:ilvl="0" w:tentative="0">
      <w:start w:val="1"/>
      <w:numFmt w:val="decimal"/>
      <w:lvlText w:val="%1."/>
      <w:lvlJc w:val="left"/>
      <w:pPr>
        <w:tabs>
          <w:tab w:val="left" w:pos="312"/>
        </w:tabs>
      </w:pPr>
    </w:lvl>
  </w:abstractNum>
  <w:abstractNum w:abstractNumId="3">
    <w:nsid w:val="C1C92FC0"/>
    <w:multiLevelType w:val="singleLevel"/>
    <w:tmpl w:val="C1C92FC0"/>
    <w:lvl w:ilvl="0" w:tentative="0">
      <w:start w:val="1"/>
      <w:numFmt w:val="decimal"/>
      <w:lvlText w:val="%1."/>
      <w:lvlJc w:val="left"/>
      <w:pPr>
        <w:ind w:left="425" w:hanging="425"/>
      </w:pPr>
      <w:rPr>
        <w:rFonts w:hint="default"/>
      </w:rPr>
    </w:lvl>
  </w:abstractNum>
  <w:abstractNum w:abstractNumId="4">
    <w:nsid w:val="27BB3D90"/>
    <w:multiLevelType w:val="singleLevel"/>
    <w:tmpl w:val="27BB3D90"/>
    <w:lvl w:ilvl="0" w:tentative="0">
      <w:start w:val="1"/>
      <w:numFmt w:val="decimal"/>
      <w:suff w:val="nothing"/>
      <w:lvlText w:val="%1、"/>
      <w:lvlJc w:val="left"/>
    </w:lvl>
  </w:abstractNum>
  <w:abstractNum w:abstractNumId="5">
    <w:nsid w:val="2D9C122A"/>
    <w:multiLevelType w:val="singleLevel"/>
    <w:tmpl w:val="2D9C122A"/>
    <w:lvl w:ilvl="0" w:tentative="0">
      <w:start w:val="1"/>
      <w:numFmt w:val="chineseCounting"/>
      <w:suff w:val="nothing"/>
      <w:lvlText w:val="%1、"/>
      <w:lvlJc w:val="left"/>
      <w:rPr>
        <w:rFonts w:hint="eastAsia"/>
      </w:rPr>
    </w:lvl>
  </w:abstractNum>
  <w:abstractNum w:abstractNumId="6">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9DF86F"/>
    <w:multiLevelType w:val="multilevel"/>
    <w:tmpl w:val="579DF86F"/>
    <w:lvl w:ilvl="0" w:tentative="0">
      <w:start w:val="0"/>
      <w:numFmt w:val="decimal"/>
      <w:pStyle w:val="66"/>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7A9D86E"/>
    <w:multiLevelType w:val="singleLevel"/>
    <w:tmpl w:val="57A9D86E"/>
    <w:lvl w:ilvl="0" w:tentative="0">
      <w:start w:val="2"/>
      <w:numFmt w:val="chineseCounting"/>
      <w:pStyle w:val="495"/>
      <w:suff w:val="space"/>
      <w:lvlText w:val="第%1章"/>
      <w:lvlJc w:val="left"/>
    </w:lvl>
  </w:abstractNum>
  <w:abstractNum w:abstractNumId="9">
    <w:nsid w:val="57A9DD42"/>
    <w:multiLevelType w:val="singleLevel"/>
    <w:tmpl w:val="57A9DD42"/>
    <w:lvl w:ilvl="0" w:tentative="0">
      <w:start w:val="1"/>
      <w:numFmt w:val="chineseCounting"/>
      <w:pStyle w:val="178"/>
      <w:suff w:val="nothing"/>
      <w:lvlText w:val="%1、"/>
      <w:lvlJc w:val="left"/>
    </w:lvl>
  </w:abstractNum>
  <w:num w:numId="1">
    <w:abstractNumId w:val="7"/>
  </w:num>
  <w:num w:numId="2">
    <w:abstractNumId w:val="9"/>
  </w:num>
  <w:num w:numId="3">
    <w:abstractNumId w:val="8"/>
  </w:num>
  <w:num w:numId="4">
    <w:abstractNumId w:val="6"/>
  </w:num>
  <w:num w:numId="5">
    <w:abstractNumId w:val="2"/>
  </w:num>
  <w:num w:numId="6">
    <w:abstractNumId w:val="5"/>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0552"/>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2BE0"/>
    <w:rsid w:val="005F57A7"/>
    <w:rsid w:val="00600209"/>
    <w:rsid w:val="006031B1"/>
    <w:rsid w:val="00604EB7"/>
    <w:rsid w:val="0060761B"/>
    <w:rsid w:val="00607BD5"/>
    <w:rsid w:val="00607CBF"/>
    <w:rsid w:val="00613956"/>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84841"/>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66C5"/>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1186281"/>
    <w:rsid w:val="03203A83"/>
    <w:rsid w:val="03591FE5"/>
    <w:rsid w:val="04272D45"/>
    <w:rsid w:val="04A277FF"/>
    <w:rsid w:val="04D62E2E"/>
    <w:rsid w:val="0511503A"/>
    <w:rsid w:val="05471A9F"/>
    <w:rsid w:val="05561982"/>
    <w:rsid w:val="05D62A98"/>
    <w:rsid w:val="05F03F33"/>
    <w:rsid w:val="075335C3"/>
    <w:rsid w:val="07534D28"/>
    <w:rsid w:val="07FB2497"/>
    <w:rsid w:val="0A4442BE"/>
    <w:rsid w:val="0A6A5FD4"/>
    <w:rsid w:val="0AF55C1E"/>
    <w:rsid w:val="0B4D0C59"/>
    <w:rsid w:val="0BE977C4"/>
    <w:rsid w:val="0CE87952"/>
    <w:rsid w:val="0F854D88"/>
    <w:rsid w:val="0FAC7483"/>
    <w:rsid w:val="11400947"/>
    <w:rsid w:val="11793E93"/>
    <w:rsid w:val="12003CC0"/>
    <w:rsid w:val="128A061F"/>
    <w:rsid w:val="13045640"/>
    <w:rsid w:val="13B335BE"/>
    <w:rsid w:val="15357929"/>
    <w:rsid w:val="15672C01"/>
    <w:rsid w:val="16F70A82"/>
    <w:rsid w:val="174B3CDE"/>
    <w:rsid w:val="184436E8"/>
    <w:rsid w:val="19D56936"/>
    <w:rsid w:val="1A234211"/>
    <w:rsid w:val="1A4B0F04"/>
    <w:rsid w:val="1B510998"/>
    <w:rsid w:val="1B8201F0"/>
    <w:rsid w:val="1C856D61"/>
    <w:rsid w:val="1D920088"/>
    <w:rsid w:val="1DEE504B"/>
    <w:rsid w:val="1E6E4871"/>
    <w:rsid w:val="1E8E569E"/>
    <w:rsid w:val="1EE3351B"/>
    <w:rsid w:val="1FDD3EFA"/>
    <w:rsid w:val="20874D1B"/>
    <w:rsid w:val="21582098"/>
    <w:rsid w:val="22633EFA"/>
    <w:rsid w:val="23462C71"/>
    <w:rsid w:val="23EC407A"/>
    <w:rsid w:val="23EE5F93"/>
    <w:rsid w:val="24761F9A"/>
    <w:rsid w:val="25424528"/>
    <w:rsid w:val="27625C00"/>
    <w:rsid w:val="28423F7F"/>
    <w:rsid w:val="285F59D4"/>
    <w:rsid w:val="287F5E5C"/>
    <w:rsid w:val="28C50342"/>
    <w:rsid w:val="298A3168"/>
    <w:rsid w:val="2A1E16A6"/>
    <w:rsid w:val="2A621107"/>
    <w:rsid w:val="2A7C1A1D"/>
    <w:rsid w:val="2ABE6A71"/>
    <w:rsid w:val="2B264C36"/>
    <w:rsid w:val="2E653787"/>
    <w:rsid w:val="2E77698B"/>
    <w:rsid w:val="2EC92DAD"/>
    <w:rsid w:val="2F3F2DC4"/>
    <w:rsid w:val="2F534DC8"/>
    <w:rsid w:val="302B6889"/>
    <w:rsid w:val="3070323A"/>
    <w:rsid w:val="30BD3D92"/>
    <w:rsid w:val="30C61AC1"/>
    <w:rsid w:val="327D5F9F"/>
    <w:rsid w:val="33467469"/>
    <w:rsid w:val="337C79A4"/>
    <w:rsid w:val="3429194B"/>
    <w:rsid w:val="347401CF"/>
    <w:rsid w:val="3509563C"/>
    <w:rsid w:val="35266A0A"/>
    <w:rsid w:val="35B158CB"/>
    <w:rsid w:val="36C66274"/>
    <w:rsid w:val="36CF3629"/>
    <w:rsid w:val="37314204"/>
    <w:rsid w:val="376268D7"/>
    <w:rsid w:val="37687569"/>
    <w:rsid w:val="3796532D"/>
    <w:rsid w:val="38997F3E"/>
    <w:rsid w:val="38CA6860"/>
    <w:rsid w:val="3A5A4AB3"/>
    <w:rsid w:val="3CB1286B"/>
    <w:rsid w:val="3CCA10B4"/>
    <w:rsid w:val="3EA54D66"/>
    <w:rsid w:val="3EB773E4"/>
    <w:rsid w:val="3EBF1D49"/>
    <w:rsid w:val="3F356D9D"/>
    <w:rsid w:val="40463B6C"/>
    <w:rsid w:val="40C92B6A"/>
    <w:rsid w:val="413655B4"/>
    <w:rsid w:val="415F38E0"/>
    <w:rsid w:val="41690E94"/>
    <w:rsid w:val="41784737"/>
    <w:rsid w:val="432B5F1E"/>
    <w:rsid w:val="43C21E54"/>
    <w:rsid w:val="4586726B"/>
    <w:rsid w:val="45E70BE9"/>
    <w:rsid w:val="4763055F"/>
    <w:rsid w:val="47E951CF"/>
    <w:rsid w:val="48D36251"/>
    <w:rsid w:val="49CB750A"/>
    <w:rsid w:val="49DE5588"/>
    <w:rsid w:val="49F00FC7"/>
    <w:rsid w:val="4A8024F1"/>
    <w:rsid w:val="4AA2606C"/>
    <w:rsid w:val="4B8264FA"/>
    <w:rsid w:val="4B923F13"/>
    <w:rsid w:val="4BD75995"/>
    <w:rsid w:val="4C23277E"/>
    <w:rsid w:val="4CE26DC9"/>
    <w:rsid w:val="4D2027A9"/>
    <w:rsid w:val="4D3A24E9"/>
    <w:rsid w:val="4E5B5CED"/>
    <w:rsid w:val="4F8421AA"/>
    <w:rsid w:val="50996608"/>
    <w:rsid w:val="50B96358"/>
    <w:rsid w:val="513B64D7"/>
    <w:rsid w:val="518C3438"/>
    <w:rsid w:val="51E438C9"/>
    <w:rsid w:val="51F1404E"/>
    <w:rsid w:val="52506C15"/>
    <w:rsid w:val="526B5027"/>
    <w:rsid w:val="52841E80"/>
    <w:rsid w:val="53502D2B"/>
    <w:rsid w:val="536B77B9"/>
    <w:rsid w:val="54023D0C"/>
    <w:rsid w:val="54827532"/>
    <w:rsid w:val="54B82551"/>
    <w:rsid w:val="55F26EB7"/>
    <w:rsid w:val="569B711F"/>
    <w:rsid w:val="56B46AD1"/>
    <w:rsid w:val="56C405C3"/>
    <w:rsid w:val="57042355"/>
    <w:rsid w:val="581A26C1"/>
    <w:rsid w:val="587B7095"/>
    <w:rsid w:val="5A0B4E81"/>
    <w:rsid w:val="5A1C00DF"/>
    <w:rsid w:val="5A5E187F"/>
    <w:rsid w:val="5B376ECB"/>
    <w:rsid w:val="5B4F2D1F"/>
    <w:rsid w:val="5B5A7D85"/>
    <w:rsid w:val="5B660AA3"/>
    <w:rsid w:val="5B706E7E"/>
    <w:rsid w:val="5B7D2FCA"/>
    <w:rsid w:val="5B806823"/>
    <w:rsid w:val="5C933CC0"/>
    <w:rsid w:val="5CB01C03"/>
    <w:rsid w:val="5CC51B73"/>
    <w:rsid w:val="5D8E3169"/>
    <w:rsid w:val="5E793D12"/>
    <w:rsid w:val="5F336AED"/>
    <w:rsid w:val="5F52480B"/>
    <w:rsid w:val="61071FB1"/>
    <w:rsid w:val="614C03D0"/>
    <w:rsid w:val="61616428"/>
    <w:rsid w:val="618A1D8D"/>
    <w:rsid w:val="624149EB"/>
    <w:rsid w:val="62763C3A"/>
    <w:rsid w:val="64530CBA"/>
    <w:rsid w:val="64710C34"/>
    <w:rsid w:val="65755D4A"/>
    <w:rsid w:val="65DE0D14"/>
    <w:rsid w:val="666406F3"/>
    <w:rsid w:val="66972E45"/>
    <w:rsid w:val="66B03139"/>
    <w:rsid w:val="66CD6256"/>
    <w:rsid w:val="6703711E"/>
    <w:rsid w:val="67A36D80"/>
    <w:rsid w:val="686A2315"/>
    <w:rsid w:val="68732458"/>
    <w:rsid w:val="688749C8"/>
    <w:rsid w:val="69064D3F"/>
    <w:rsid w:val="69333C0B"/>
    <w:rsid w:val="69845442"/>
    <w:rsid w:val="69E4236A"/>
    <w:rsid w:val="6A43265F"/>
    <w:rsid w:val="6B744FA5"/>
    <w:rsid w:val="6BDD72CB"/>
    <w:rsid w:val="6F3653C0"/>
    <w:rsid w:val="70BF3188"/>
    <w:rsid w:val="71627483"/>
    <w:rsid w:val="718F2030"/>
    <w:rsid w:val="729C6804"/>
    <w:rsid w:val="72E35686"/>
    <w:rsid w:val="72E83EFA"/>
    <w:rsid w:val="73983617"/>
    <w:rsid w:val="73AE7FEE"/>
    <w:rsid w:val="74943716"/>
    <w:rsid w:val="75BA457F"/>
    <w:rsid w:val="764534A6"/>
    <w:rsid w:val="76566FC1"/>
    <w:rsid w:val="76FA3A5B"/>
    <w:rsid w:val="77491495"/>
    <w:rsid w:val="786C27FB"/>
    <w:rsid w:val="79322A86"/>
    <w:rsid w:val="79754A95"/>
    <w:rsid w:val="79DF2C6B"/>
    <w:rsid w:val="7A6B4D83"/>
    <w:rsid w:val="7A7C5788"/>
    <w:rsid w:val="7AD35E4E"/>
    <w:rsid w:val="7AF35FFC"/>
    <w:rsid w:val="7B447E54"/>
    <w:rsid w:val="7BF977A7"/>
    <w:rsid w:val="7C291977"/>
    <w:rsid w:val="7C9A0801"/>
    <w:rsid w:val="7CE67305"/>
    <w:rsid w:val="7D6C7DD9"/>
    <w:rsid w:val="7FD6190D"/>
    <w:rsid w:val="7FD7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4">
    <w:name w:val="heading 1"/>
    <w:basedOn w:val="1"/>
    <w:next w:val="1"/>
    <w:link w:val="498"/>
    <w:qFormat/>
    <w:uiPriority w:val="0"/>
    <w:pPr>
      <w:keepNext/>
      <w:keepLines/>
      <w:spacing w:before="340" w:after="330" w:line="240" w:lineRule="auto"/>
      <w:jc w:val="center"/>
      <w:outlineLvl w:val="0"/>
    </w:pPr>
    <w:rPr>
      <w:rFonts w:ascii="Times New Roman" w:hAnsi="Times New Roman" w:eastAsia="宋体"/>
      <w:b/>
      <w:sz w:val="32"/>
      <w:szCs w:val="44"/>
    </w:rPr>
  </w:style>
  <w:style w:type="paragraph" w:styleId="5">
    <w:name w:val="heading 2"/>
    <w:basedOn w:val="1"/>
    <w:next w:val="1"/>
    <w:link w:val="526"/>
    <w:qFormat/>
    <w:uiPriority w:val="9"/>
    <w:pPr>
      <w:keepNext/>
      <w:keepLines/>
      <w:spacing w:before="260" w:after="260" w:line="240" w:lineRule="auto"/>
      <w:outlineLvl w:val="1"/>
    </w:pPr>
    <w:rPr>
      <w:rFonts w:ascii="Arial" w:hAnsi="Arial" w:eastAsia="黑体" w:cs="Arial"/>
      <w:b/>
      <w:sz w:val="28"/>
      <w:szCs w:val="32"/>
    </w:rPr>
  </w:style>
  <w:style w:type="paragraph" w:styleId="6">
    <w:name w:val="heading 3"/>
    <w:basedOn w:val="1"/>
    <w:next w:val="1"/>
    <w:link w:val="525"/>
    <w:qFormat/>
    <w:uiPriority w:val="0"/>
    <w:pPr>
      <w:keepNext/>
      <w:keepLines/>
      <w:spacing w:before="120" w:after="120"/>
      <w:outlineLvl w:val="2"/>
    </w:pPr>
    <w:rPr>
      <w:rFonts w:ascii="宋体" w:hAnsi="宋体" w:eastAsia="宋体" w:cs="宋体"/>
      <w:b/>
      <w:sz w:val="24"/>
      <w:szCs w:val="28"/>
    </w:rPr>
  </w:style>
  <w:style w:type="paragraph" w:styleId="7">
    <w:name w:val="heading 4"/>
    <w:basedOn w:val="1"/>
    <w:next w:val="8"/>
    <w:link w:val="152"/>
    <w:qFormat/>
    <w:uiPriority w:val="0"/>
    <w:pPr>
      <w:tabs>
        <w:tab w:val="left" w:pos="851"/>
      </w:tabs>
      <w:spacing w:line="360" w:lineRule="auto"/>
      <w:ind w:left="851" w:hanging="851"/>
      <w:outlineLvl w:val="3"/>
    </w:pPr>
    <w:rPr>
      <w:sz w:val="24"/>
      <w:szCs w:val="20"/>
    </w:rPr>
  </w:style>
  <w:style w:type="paragraph" w:styleId="9">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10">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11">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2">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3">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08"/>
    <w:qFormat/>
    <w:uiPriority w:val="0"/>
    <w:pPr>
      <w:spacing w:after="120"/>
    </w:pPr>
    <w:rPr>
      <w:kern w:val="1"/>
    </w:rPr>
  </w:style>
  <w:style w:type="paragraph" w:styleId="3">
    <w:name w:val="Body Text 2"/>
    <w:basedOn w:val="1"/>
    <w:link w:val="109"/>
    <w:qFormat/>
    <w:uiPriority w:val="0"/>
    <w:pPr>
      <w:jc w:val="left"/>
    </w:pPr>
    <w:rPr>
      <w:rFonts w:ascii="仿宋_GB2312" w:hAnsi="仿宋_GB2312" w:eastAsia="仿宋"/>
      <w:b/>
      <w:kern w:val="1"/>
      <w:sz w:val="30"/>
    </w:rPr>
  </w:style>
  <w:style w:type="paragraph" w:styleId="8">
    <w:name w:val="Normal Indent"/>
    <w:basedOn w:val="1"/>
    <w:link w:val="174"/>
    <w:qFormat/>
    <w:uiPriority w:val="0"/>
    <w:pPr>
      <w:spacing w:line="360" w:lineRule="auto"/>
      <w:ind w:firstLine="420"/>
    </w:pPr>
    <w:rPr>
      <w:kern w:val="1"/>
      <w:sz w:val="24"/>
      <w:szCs w:val="20"/>
    </w:rPr>
  </w:style>
  <w:style w:type="paragraph" w:styleId="14">
    <w:name w:val="toc 7"/>
    <w:basedOn w:val="1"/>
    <w:next w:val="1"/>
    <w:qFormat/>
    <w:uiPriority w:val="39"/>
    <w:pPr>
      <w:ind w:left="1260"/>
      <w:jc w:val="left"/>
    </w:pPr>
    <w:rPr>
      <w:rFonts w:ascii="Calibri" w:hAnsi="Calibri" w:eastAsia="仿宋_GB2312"/>
      <w:color w:val="auto"/>
      <w:kern w:val="2"/>
      <w:sz w:val="18"/>
      <w:szCs w:val="18"/>
    </w:rPr>
  </w:style>
  <w:style w:type="paragraph" w:styleId="15">
    <w:name w:val="table of authorities"/>
    <w:basedOn w:val="1"/>
    <w:next w:val="1"/>
    <w:qFormat/>
    <w:uiPriority w:val="6"/>
    <w:pPr>
      <w:ind w:left="420"/>
    </w:pPr>
    <w:rPr>
      <w:kern w:val="1"/>
    </w:rPr>
  </w:style>
  <w:style w:type="paragraph" w:styleId="16">
    <w:name w:val="caption"/>
    <w:basedOn w:val="1"/>
    <w:next w:val="1"/>
    <w:qFormat/>
    <w:uiPriority w:val="0"/>
    <w:pPr>
      <w:spacing w:before="152" w:after="160"/>
    </w:pPr>
    <w:rPr>
      <w:rFonts w:ascii="Arial" w:hAnsi="Arial" w:eastAsia="黑体" w:cs="Arial"/>
      <w:color w:val="auto"/>
      <w:kern w:val="2"/>
      <w:sz w:val="20"/>
      <w:szCs w:val="20"/>
    </w:rPr>
  </w:style>
  <w:style w:type="paragraph" w:styleId="17">
    <w:name w:val="Document Map"/>
    <w:basedOn w:val="1"/>
    <w:link w:val="72"/>
    <w:qFormat/>
    <w:uiPriority w:val="0"/>
    <w:rPr>
      <w:rFonts w:ascii="宋体"/>
      <w:sz w:val="18"/>
      <w:szCs w:val="18"/>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79"/>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499"/>
    <w:qFormat/>
    <w:uiPriority w:val="0"/>
    <w:pPr>
      <w:ind w:firstLine="600"/>
    </w:pPr>
    <w:rPr>
      <w:rFonts w:ascii="华文中宋" w:hAnsi="华文中宋"/>
      <w:kern w:val="1"/>
      <w:sz w:val="30"/>
    </w:rPr>
  </w:style>
  <w:style w:type="paragraph" w:styleId="29">
    <w:name w:val="Balloon Text"/>
    <w:basedOn w:val="1"/>
    <w:link w:val="67"/>
    <w:qFormat/>
    <w:uiPriority w:val="0"/>
    <w:rPr>
      <w:sz w:val="18"/>
      <w:szCs w:val="18"/>
    </w:rPr>
  </w:style>
  <w:style w:type="paragraph" w:styleId="30">
    <w:name w:val="footer"/>
    <w:basedOn w:val="1"/>
    <w:link w:val="73"/>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List Continue 2"/>
    <w:basedOn w:val="1"/>
    <w:qFormat/>
    <w:uiPriority w:val="0"/>
    <w:pPr>
      <w:spacing w:after="120"/>
      <w:ind w:left="840" w:leftChars="400"/>
    </w:pPr>
    <w:rPr>
      <w:color w:val="auto"/>
      <w:kern w:val="2"/>
    </w:rPr>
  </w:style>
  <w:style w:type="paragraph" w:styleId="41">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2">
    <w:name w:val="Normal (Web)"/>
    <w:basedOn w:val="1"/>
    <w:qFormat/>
    <w:uiPriority w:val="0"/>
    <w:rPr>
      <w:rFonts w:ascii="仿宋_GB2312" w:eastAsia="仿宋_GB2312"/>
      <w:color w:val="auto"/>
      <w:kern w:val="2"/>
      <w:sz w:val="24"/>
    </w:rPr>
  </w:style>
  <w:style w:type="paragraph" w:styleId="43">
    <w:name w:val="Title"/>
    <w:basedOn w:val="1"/>
    <w:next w:val="1"/>
    <w:link w:val="71"/>
    <w:qFormat/>
    <w:uiPriority w:val="0"/>
    <w:pPr>
      <w:spacing w:before="240" w:after="60"/>
      <w:jc w:val="center"/>
      <w:outlineLvl w:val="0"/>
    </w:pPr>
    <w:rPr>
      <w:rFonts w:ascii="Cambria" w:hAnsi="Cambria"/>
      <w:b/>
      <w:bCs/>
      <w:sz w:val="32"/>
      <w:szCs w:val="32"/>
    </w:rPr>
  </w:style>
  <w:style w:type="paragraph" w:styleId="44">
    <w:name w:val="annotation subject"/>
    <w:basedOn w:val="18"/>
    <w:next w:val="18"/>
    <w:link w:val="187"/>
    <w:qFormat/>
    <w:uiPriority w:val="0"/>
    <w:rPr>
      <w:b/>
      <w:bCs/>
      <w:color w:val="auto"/>
      <w:kern w:val="2"/>
      <w:szCs w:val="21"/>
    </w:rPr>
  </w:style>
  <w:style w:type="paragraph" w:styleId="45">
    <w:name w:val="Body Text First Indent"/>
    <w:basedOn w:val="2"/>
    <w:link w:val="209"/>
    <w:qFormat/>
    <w:uiPriority w:val="0"/>
    <w:pPr>
      <w:ind w:firstLine="420" w:firstLineChars="100"/>
    </w:pPr>
    <w:rPr>
      <w:rFonts w:ascii="仿宋_GB2312" w:eastAsia="仿宋_GB2312"/>
      <w:color w:val="auto"/>
      <w:kern w:val="2"/>
    </w:rPr>
  </w:style>
  <w:style w:type="paragraph" w:styleId="46">
    <w:name w:val="Body Text First Indent 2"/>
    <w:basedOn w:val="20"/>
    <w:link w:val="210"/>
    <w:qFormat/>
    <w:uiPriority w:val="0"/>
    <w:pPr>
      <w:spacing w:after="120" w:line="240" w:lineRule="auto"/>
      <w:ind w:left="420" w:leftChars="200" w:firstLine="200"/>
    </w:pPr>
    <w:rPr>
      <w:sz w:val="28"/>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rFonts w:ascii="方正小标宋简体" w:eastAsia="方正小标宋简体"/>
      <w:bCs/>
      <w:snapToGrid/>
      <w:spacing w:val="0"/>
      <w:w w:val="100"/>
      <w:kern w:val="0"/>
      <w:sz w:val="36"/>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paragraph" w:customStyle="1" w:styleId="56">
    <w:name w:val="表格"/>
    <w:basedOn w:val="1"/>
    <w:qFormat/>
    <w:uiPriority w:val="0"/>
    <w:pPr>
      <w:jc w:val="center"/>
    </w:pPr>
    <w:rPr>
      <w:rFonts w:ascii="宋体" w:hAnsi="宋体" w:eastAsia="楷体_GB2312"/>
      <w:color w:val="auto"/>
      <w:kern w:val="2"/>
    </w:rPr>
  </w:style>
  <w:style w:type="character" w:customStyle="1" w:styleId="57">
    <w:name w:val="font21"/>
    <w:qFormat/>
    <w:uiPriority w:val="6"/>
    <w:rPr>
      <w:rFonts w:ascii="宋体" w:hAnsi="宋体" w:eastAsia="宋体" w:cs="宋体"/>
      <w:color w:val="000000"/>
      <w:sz w:val="21"/>
      <w:szCs w:val="21"/>
      <w:u w:val="single"/>
    </w:rPr>
  </w:style>
  <w:style w:type="character" w:customStyle="1" w:styleId="58">
    <w:name w:val="font41"/>
    <w:qFormat/>
    <w:uiPriority w:val="6"/>
    <w:rPr>
      <w:rFonts w:ascii="宋体" w:hAnsi="宋体" w:eastAsia="宋体" w:cs="宋体"/>
      <w:b/>
      <w:color w:val="000000"/>
      <w:sz w:val="21"/>
      <w:szCs w:val="21"/>
      <w:u w:val="none"/>
    </w:rPr>
  </w:style>
  <w:style w:type="character" w:customStyle="1" w:styleId="59">
    <w:name w:val="font31"/>
    <w:qFormat/>
    <w:uiPriority w:val="6"/>
    <w:rPr>
      <w:rFonts w:ascii="宋体" w:hAnsi="宋体" w:eastAsia="宋体" w:cs="宋体"/>
      <w:color w:val="000000"/>
      <w:sz w:val="21"/>
      <w:szCs w:val="21"/>
      <w:u w:val="none"/>
    </w:rPr>
  </w:style>
  <w:style w:type="character" w:customStyle="1" w:styleId="60">
    <w:name w:val="font11"/>
    <w:qFormat/>
    <w:uiPriority w:val="6"/>
    <w:rPr>
      <w:rFonts w:ascii="Times New Roman" w:hAnsi="Times New Roman" w:cs="Times New Roman"/>
      <w:color w:val="000000"/>
      <w:sz w:val="21"/>
      <w:szCs w:val="21"/>
      <w:u w:val="none"/>
    </w:rPr>
  </w:style>
  <w:style w:type="character" w:customStyle="1" w:styleId="61">
    <w:name w:val="标题 3 Char"/>
    <w:qFormat/>
    <w:uiPriority w:val="0"/>
    <w:rPr>
      <w:rFonts w:ascii="宋体" w:hAnsi="宋体" w:eastAsia="宋体" w:cs="宋体"/>
      <w:b/>
      <w:sz w:val="28"/>
      <w:szCs w:val="28"/>
      <w:lang w:val="en-US" w:eastAsia="zh-CN" w:bidi="ar-SA"/>
    </w:rPr>
  </w:style>
  <w:style w:type="character" w:customStyle="1" w:styleId="62">
    <w:name w:val="标题 2 Char"/>
    <w:qFormat/>
    <w:uiPriority w:val="0"/>
    <w:rPr>
      <w:rFonts w:ascii="Arial" w:hAnsi="Arial" w:eastAsia="黑体"/>
      <w:b/>
      <w:kern w:val="1"/>
      <w:sz w:val="32"/>
      <w:szCs w:val="32"/>
      <w:lang w:val="en-US" w:eastAsia="zh-CN" w:bidi="ar-SA"/>
    </w:rPr>
  </w:style>
  <w:style w:type="paragraph" w:customStyle="1" w:styleId="63">
    <w:name w:val="Char"/>
    <w:basedOn w:val="1"/>
    <w:qFormat/>
    <w:uiPriority w:val="6"/>
    <w:pPr>
      <w:spacing w:line="360" w:lineRule="auto"/>
      <w:ind w:firstLine="200"/>
    </w:pPr>
    <w:rPr>
      <w:rFonts w:ascii="宋体" w:hAnsi="宋体" w:cs="宋体"/>
      <w:kern w:val="1"/>
      <w:sz w:val="24"/>
    </w:rPr>
  </w:style>
  <w:style w:type="paragraph" w:customStyle="1" w:styleId="64">
    <w:name w:val="List Paragraph*"/>
    <w:basedOn w:val="1"/>
    <w:qFormat/>
    <w:uiPriority w:val="7"/>
    <w:pPr>
      <w:ind w:firstLine="420"/>
    </w:pPr>
    <w:rPr>
      <w:kern w:val="1"/>
    </w:rPr>
  </w:style>
  <w:style w:type="paragraph" w:customStyle="1" w:styleId="65">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6">
    <w:name w:val="Char11"/>
    <w:basedOn w:val="1"/>
    <w:qFormat/>
    <w:uiPriority w:val="6"/>
    <w:pPr>
      <w:numPr>
        <w:ilvl w:val="0"/>
        <w:numId w:val="1"/>
      </w:numPr>
      <w:tabs>
        <w:tab w:val="left" w:pos="1126"/>
      </w:tabs>
      <w:ind w:left="1126" w:hanging="480"/>
    </w:pPr>
    <w:rPr>
      <w:kern w:val="1"/>
      <w:sz w:val="24"/>
    </w:rPr>
  </w:style>
  <w:style w:type="character" w:customStyle="1" w:styleId="67">
    <w:name w:val="批注框文本 Char"/>
    <w:link w:val="29"/>
    <w:qFormat/>
    <w:uiPriority w:val="0"/>
    <w:rPr>
      <w:color w:val="000000"/>
      <w:sz w:val="18"/>
      <w:szCs w:val="18"/>
    </w:rPr>
  </w:style>
  <w:style w:type="character" w:customStyle="1" w:styleId="68">
    <w:name w:val="apple-converted-space"/>
    <w:basedOn w:val="49"/>
    <w:qFormat/>
    <w:uiPriority w:val="0"/>
  </w:style>
  <w:style w:type="paragraph" w:customStyle="1" w:styleId="69">
    <w:name w:val="样式 A正文 + 首行缩进:  2 字符"/>
    <w:basedOn w:val="70"/>
    <w:qFormat/>
    <w:uiPriority w:val="0"/>
    <w:pPr>
      <w:ind w:firstLine="480"/>
    </w:pPr>
    <w:rPr>
      <w:rFonts w:cs="宋体"/>
      <w:szCs w:val="20"/>
    </w:rPr>
  </w:style>
  <w:style w:type="paragraph" w:customStyle="1" w:styleId="70">
    <w:name w:val="A正文"/>
    <w:basedOn w:val="1"/>
    <w:qFormat/>
    <w:uiPriority w:val="0"/>
    <w:pPr>
      <w:spacing w:line="360" w:lineRule="auto"/>
    </w:pPr>
  </w:style>
  <w:style w:type="character" w:customStyle="1" w:styleId="71">
    <w:name w:val="标题 Char"/>
    <w:link w:val="43"/>
    <w:qFormat/>
    <w:uiPriority w:val="0"/>
    <w:rPr>
      <w:rFonts w:ascii="Cambria" w:hAnsi="Cambria" w:cs="Times New Roman"/>
      <w:b/>
      <w:bCs/>
      <w:color w:val="000000"/>
      <w:sz w:val="32"/>
      <w:szCs w:val="32"/>
    </w:rPr>
  </w:style>
  <w:style w:type="character" w:customStyle="1" w:styleId="72">
    <w:name w:val="文档结构图 Char"/>
    <w:link w:val="17"/>
    <w:qFormat/>
    <w:uiPriority w:val="0"/>
    <w:rPr>
      <w:rFonts w:ascii="宋体"/>
      <w:color w:val="000000"/>
      <w:sz w:val="18"/>
      <w:szCs w:val="18"/>
    </w:rPr>
  </w:style>
  <w:style w:type="character" w:customStyle="1" w:styleId="73">
    <w:name w:val="页脚 Char"/>
    <w:link w:val="30"/>
    <w:qFormat/>
    <w:uiPriority w:val="99"/>
    <w:rPr>
      <w:color w:val="000000"/>
      <w:kern w:val="1"/>
      <w:sz w:val="18"/>
      <w:szCs w:val="18"/>
    </w:rPr>
  </w:style>
  <w:style w:type="paragraph" w:customStyle="1" w:styleId="74">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5">
    <w:name w:val="List Paragraph"/>
    <w:basedOn w:val="1"/>
    <w:qFormat/>
    <w:uiPriority w:val="1"/>
    <w:pPr>
      <w:ind w:firstLine="420" w:firstLineChars="200"/>
    </w:pPr>
  </w:style>
  <w:style w:type="paragraph" w:customStyle="1" w:styleId="76">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7">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8">
    <w:name w:val="表格文字"/>
    <w:basedOn w:val="1"/>
    <w:qFormat/>
    <w:uiPriority w:val="0"/>
    <w:rPr>
      <w:color w:val="auto"/>
      <w:kern w:val="2"/>
    </w:rPr>
  </w:style>
  <w:style w:type="character" w:customStyle="1" w:styleId="79">
    <w:name w:val="纯文本 Char"/>
    <w:link w:val="25"/>
    <w:qFormat/>
    <w:uiPriority w:val="0"/>
    <w:rPr>
      <w:rFonts w:ascii="宋体" w:hAnsi="宋体" w:eastAsia="楷体" w:cs="Courier New"/>
      <w:color w:val="000000"/>
      <w:kern w:val="1"/>
      <w:sz w:val="26"/>
    </w:rPr>
  </w:style>
  <w:style w:type="character" w:customStyle="1" w:styleId="80">
    <w:name w:val="正文1 Char Char"/>
    <w:link w:val="81"/>
    <w:qFormat/>
    <w:uiPriority w:val="0"/>
    <w:rPr>
      <w:rFonts w:ascii="Arial" w:hAnsi="Arial"/>
      <w:kern w:val="2"/>
      <w:sz w:val="24"/>
      <w:szCs w:val="24"/>
    </w:rPr>
  </w:style>
  <w:style w:type="paragraph" w:customStyle="1" w:styleId="81">
    <w:name w:val="正文1"/>
    <w:basedOn w:val="1"/>
    <w:link w:val="80"/>
    <w:qFormat/>
    <w:uiPriority w:val="0"/>
    <w:pPr>
      <w:spacing w:line="360" w:lineRule="auto"/>
    </w:pPr>
    <w:rPr>
      <w:rFonts w:ascii="Arial" w:hAnsi="Arial"/>
      <w:color w:val="auto"/>
      <w:kern w:val="2"/>
      <w:sz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Char"/>
    <w:link w:val="9"/>
    <w:qFormat/>
    <w:uiPriority w:val="0"/>
    <w:rPr>
      <w:rFonts w:ascii="黑体" w:hAnsi="宋体" w:eastAsia="黑体"/>
      <w:kern w:val="2"/>
      <w:sz w:val="24"/>
      <w:szCs w:val="24"/>
    </w:rPr>
  </w:style>
  <w:style w:type="character" w:customStyle="1" w:styleId="85">
    <w:name w:val="标题 6 Char"/>
    <w:link w:val="10"/>
    <w:qFormat/>
    <w:uiPriority w:val="0"/>
    <w:rPr>
      <w:rFonts w:ascii="楷体_GB2312" w:hAnsi="宋体" w:eastAsia="楷体_GB2312"/>
      <w:kern w:val="2"/>
      <w:sz w:val="21"/>
      <w:szCs w:val="24"/>
      <w:lang w:val="zh-CN"/>
    </w:rPr>
  </w:style>
  <w:style w:type="character" w:customStyle="1" w:styleId="86">
    <w:name w:val="标题 7 Char"/>
    <w:link w:val="11"/>
    <w:qFormat/>
    <w:uiPriority w:val="0"/>
    <w:rPr>
      <w:rFonts w:ascii="楷体_GB2312" w:eastAsia="楷体_GB2312"/>
      <w:kern w:val="2"/>
      <w:sz w:val="21"/>
      <w:szCs w:val="24"/>
      <w:lang w:val="zh-CN"/>
    </w:rPr>
  </w:style>
  <w:style w:type="character" w:customStyle="1" w:styleId="87">
    <w:name w:val="标题 8 Char"/>
    <w:link w:val="12"/>
    <w:qFormat/>
    <w:uiPriority w:val="0"/>
    <w:rPr>
      <w:rFonts w:ascii="Arial" w:hAnsi="Arial" w:eastAsia="黑体"/>
      <w:kern w:val="2"/>
      <w:sz w:val="24"/>
      <w:szCs w:val="24"/>
    </w:rPr>
  </w:style>
  <w:style w:type="character" w:customStyle="1" w:styleId="88">
    <w:name w:val="标题 9 Char"/>
    <w:link w:val="13"/>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Char"/>
    <w:link w:val="3"/>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Char"/>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Char"/>
    <w:link w:val="41"/>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Char"/>
    <w:link w:val="31"/>
    <w:qFormat/>
    <w:uiPriority w:val="99"/>
    <w:rPr>
      <w:color w:val="000000"/>
      <w:kern w:val="1"/>
      <w:sz w:val="18"/>
      <w:szCs w:val="18"/>
    </w:rPr>
  </w:style>
  <w:style w:type="character" w:customStyle="1" w:styleId="126">
    <w:name w:val="副标题 Char"/>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Char"/>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8"/>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Char"/>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Char"/>
    <w:link w:val="7"/>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Char"/>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Char"/>
    <w:link w:val="8"/>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Char1"/>
    <w:link w:val="18"/>
    <w:qFormat/>
    <w:uiPriority w:val="0"/>
    <w:rPr>
      <w:color w:val="000000"/>
      <w:kern w:val="1"/>
      <w:sz w:val="21"/>
      <w:szCs w:val="24"/>
    </w:rPr>
  </w:style>
  <w:style w:type="character" w:customStyle="1" w:styleId="187">
    <w:name w:val="批注主题 Char1"/>
    <w:basedOn w:val="186"/>
    <w:link w:val="44"/>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9"/>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4"/>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9"/>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Char1"/>
    <w:link w:val="2"/>
    <w:qFormat/>
    <w:uiPriority w:val="0"/>
    <w:rPr>
      <w:color w:val="000000"/>
      <w:kern w:val="1"/>
      <w:sz w:val="21"/>
      <w:szCs w:val="24"/>
    </w:rPr>
  </w:style>
  <w:style w:type="character" w:customStyle="1" w:styleId="209">
    <w:name w:val="正文首行缩进 Char1"/>
    <w:basedOn w:val="208"/>
    <w:link w:val="45"/>
    <w:qFormat/>
    <w:uiPriority w:val="0"/>
    <w:rPr>
      <w:color w:val="000000"/>
      <w:kern w:val="1"/>
      <w:sz w:val="21"/>
      <w:szCs w:val="24"/>
    </w:rPr>
  </w:style>
  <w:style w:type="character" w:customStyle="1" w:styleId="210">
    <w:name w:val="正文首行缩进 2 Char1"/>
    <w:basedOn w:val="207"/>
    <w:link w:val="46"/>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6"/>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4"/>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5"/>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7"/>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2"/>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6"/>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9"/>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4"/>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2"/>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2"/>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2"/>
    <w:qFormat/>
    <w:uiPriority w:val="0"/>
    <w:pPr>
      <w:topLinePunct/>
      <w:spacing w:line="480" w:lineRule="auto"/>
      <w:jc w:val="center"/>
    </w:pPr>
    <w:rPr>
      <w:rFonts w:ascii="方正小标宋简体" w:eastAsia="方正小标宋简体"/>
      <w:sz w:val="36"/>
    </w:rPr>
  </w:style>
  <w:style w:type="paragraph" w:customStyle="1" w:styleId="258">
    <w:name w:val="合同标题3"/>
    <w:basedOn w:val="6"/>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8"/>
    <w:qFormat/>
    <w:uiPriority w:val="0"/>
    <w:pPr>
      <w:ind w:firstLine="408" w:firstLineChars="170"/>
    </w:pPr>
    <w:rPr>
      <w:bCs/>
      <w:color w:val="auto"/>
      <w:kern w:val="0"/>
      <w:szCs w:val="24"/>
    </w:rPr>
  </w:style>
  <w:style w:type="paragraph" w:customStyle="1" w:styleId="265">
    <w:name w:val="节"/>
    <w:basedOn w:val="8"/>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6"/>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9"/>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7"/>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7">
    <w:name w:val="表格2"/>
    <w:basedOn w:val="1"/>
    <w:qFormat/>
    <w:uiPriority w:val="0"/>
    <w:pPr>
      <w:spacing w:line="200" w:lineRule="exact"/>
      <w:jc w:val="center"/>
    </w:pPr>
    <w:rPr>
      <w:rFonts w:eastAsia="仿宋_GB2312" w:cs="宋体"/>
      <w:color w:val="auto"/>
      <w:sz w:val="18"/>
      <w:szCs w:val="18"/>
    </w:rPr>
  </w:style>
  <w:style w:type="paragraph" w:customStyle="1" w:styleId="298">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299">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0">
    <w:name w:val="wyj1"/>
    <w:basedOn w:val="1"/>
    <w:qFormat/>
    <w:uiPriority w:val="0"/>
    <w:pPr>
      <w:spacing w:before="120" w:after="120"/>
      <w:ind w:firstLine="425"/>
    </w:pPr>
    <w:rPr>
      <w:rFonts w:ascii="黑体" w:eastAsia="黑体"/>
      <w:color w:val="auto"/>
      <w:kern w:val="2"/>
      <w:sz w:val="28"/>
      <w:szCs w:val="20"/>
    </w:rPr>
  </w:style>
  <w:style w:type="paragraph" w:customStyle="1" w:styleId="301">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2">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3">
    <w:name w:val="3"/>
    <w:basedOn w:val="1"/>
    <w:next w:val="2"/>
    <w:qFormat/>
    <w:uiPriority w:val="0"/>
    <w:pPr>
      <w:spacing w:line="360" w:lineRule="auto"/>
      <w:jc w:val="left"/>
    </w:pPr>
    <w:rPr>
      <w:rFonts w:eastAsia="仿宋_GB2312"/>
      <w:color w:val="auto"/>
      <w:sz w:val="28"/>
      <w:szCs w:val="28"/>
    </w:rPr>
  </w:style>
  <w:style w:type="paragraph" w:customStyle="1" w:styleId="304">
    <w:name w:val="xl119"/>
    <w:basedOn w:val="1"/>
    <w:qFormat/>
    <w:uiPriority w:val="0"/>
    <w:pPr>
      <w:widowControl/>
      <w:spacing w:before="100" w:beforeAutospacing="1" w:after="100" w:afterAutospacing="1"/>
      <w:jc w:val="left"/>
    </w:pPr>
    <w:rPr>
      <w:sz w:val="20"/>
      <w:szCs w:val="20"/>
    </w:rPr>
  </w:style>
  <w:style w:type="paragraph" w:customStyle="1" w:styleId="3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7">
    <w:name w:val="gg"/>
    <w:basedOn w:val="8"/>
    <w:qFormat/>
    <w:uiPriority w:val="0"/>
    <w:pPr>
      <w:ind w:firstLine="408" w:firstLineChars="170"/>
      <w:outlineLvl w:val="0"/>
    </w:pPr>
    <w:rPr>
      <w:kern w:val="2"/>
      <w:szCs w:val="24"/>
    </w:rPr>
  </w:style>
  <w:style w:type="paragraph" w:customStyle="1" w:styleId="308">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09">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0">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1">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5">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19">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0">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2">
    <w:name w:val="5"/>
    <w:basedOn w:val="1"/>
    <w:next w:val="25"/>
    <w:qFormat/>
    <w:uiPriority w:val="0"/>
    <w:pPr>
      <w:spacing w:line="360" w:lineRule="auto"/>
      <w:ind w:firstLine="567"/>
    </w:pPr>
    <w:rPr>
      <w:rFonts w:ascii="宋体" w:hAnsi="Courier New"/>
      <w:kern w:val="2"/>
      <w:szCs w:val="20"/>
    </w:rPr>
  </w:style>
  <w:style w:type="paragraph" w:customStyle="1" w:styleId="3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2">
    <w:name w:val="xl117"/>
    <w:basedOn w:val="1"/>
    <w:qFormat/>
    <w:uiPriority w:val="0"/>
    <w:pPr>
      <w:widowControl/>
      <w:spacing w:before="100" w:beforeAutospacing="1" w:after="100" w:afterAutospacing="1"/>
      <w:jc w:val="left"/>
    </w:pPr>
    <w:rPr>
      <w:sz w:val="20"/>
      <w:szCs w:val="20"/>
    </w:rPr>
  </w:style>
  <w:style w:type="paragraph" w:customStyle="1" w:styleId="3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5">
    <w:name w:val="xl118"/>
    <w:basedOn w:val="1"/>
    <w:qFormat/>
    <w:uiPriority w:val="0"/>
    <w:pPr>
      <w:widowControl/>
      <w:spacing w:before="100" w:beforeAutospacing="1" w:after="100" w:afterAutospacing="1"/>
      <w:jc w:val="center"/>
    </w:pPr>
    <w:rPr>
      <w:sz w:val="20"/>
      <w:szCs w:val="20"/>
    </w:rPr>
  </w:style>
  <w:style w:type="paragraph" w:customStyle="1" w:styleId="3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8">
    <w:name w:val="xl120"/>
    <w:basedOn w:val="1"/>
    <w:qFormat/>
    <w:uiPriority w:val="0"/>
    <w:pPr>
      <w:widowControl/>
      <w:spacing w:before="100" w:beforeAutospacing="1" w:after="100" w:afterAutospacing="1"/>
      <w:jc w:val="left"/>
    </w:pPr>
    <w:rPr>
      <w:sz w:val="20"/>
      <w:szCs w:val="20"/>
    </w:rPr>
  </w:style>
  <w:style w:type="paragraph" w:customStyle="1" w:styleId="33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2">
    <w:name w:val="xl93"/>
    <w:basedOn w:val="1"/>
    <w:qFormat/>
    <w:uiPriority w:val="0"/>
    <w:pPr>
      <w:widowControl/>
      <w:spacing w:before="100" w:beforeAutospacing="1" w:after="100" w:afterAutospacing="1"/>
      <w:jc w:val="center"/>
    </w:pPr>
    <w:rPr>
      <w:sz w:val="20"/>
      <w:szCs w:val="20"/>
    </w:rPr>
  </w:style>
  <w:style w:type="paragraph" w:customStyle="1" w:styleId="343">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4">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5">
    <w:name w:val="样式 标题 2 + 首行缩进:  1.13 厘米"/>
    <w:basedOn w:val="5"/>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6">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8">
    <w:name w:val="正  文"/>
    <w:basedOn w:val="1"/>
    <w:qFormat/>
    <w:uiPriority w:val="0"/>
    <w:pPr>
      <w:spacing w:line="360" w:lineRule="auto"/>
      <w:ind w:firstLine="200" w:firstLineChars="200"/>
    </w:pPr>
    <w:rPr>
      <w:rFonts w:ascii="宋体"/>
      <w:color w:val="auto"/>
      <w:kern w:val="2"/>
      <w:sz w:val="24"/>
    </w:rPr>
  </w:style>
  <w:style w:type="paragraph" w:customStyle="1" w:styleId="349">
    <w:name w:val="样式 正文首行缩进 + 首行缩进:  1 字符"/>
    <w:basedOn w:val="45"/>
    <w:qFormat/>
    <w:uiPriority w:val="0"/>
  </w:style>
  <w:style w:type="paragraph" w:customStyle="1" w:styleId="350">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2">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3">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4">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6">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8">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59">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0">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1">
    <w:name w:val="应用条款文字"/>
    <w:basedOn w:val="1"/>
    <w:next w:val="1"/>
    <w:qFormat/>
    <w:uiPriority w:val="0"/>
    <w:pPr>
      <w:spacing w:line="460" w:lineRule="atLeast"/>
    </w:pPr>
    <w:rPr>
      <w:rFonts w:cs="宋体"/>
      <w:color w:val="auto"/>
      <w:kern w:val="2"/>
      <w:sz w:val="24"/>
    </w:rPr>
  </w:style>
  <w:style w:type="paragraph" w:customStyle="1" w:styleId="362">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3">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4">
    <w:name w:val="正文2"/>
    <w:basedOn w:val="1"/>
    <w:qFormat/>
    <w:uiPriority w:val="0"/>
    <w:pPr>
      <w:spacing w:line="460" w:lineRule="exact"/>
      <w:ind w:firstLine="567"/>
    </w:pPr>
    <w:rPr>
      <w:rFonts w:eastAsia="仿宋_GB2312"/>
      <w:color w:val="auto"/>
      <w:kern w:val="2"/>
      <w:sz w:val="28"/>
      <w:szCs w:val="20"/>
    </w:rPr>
  </w:style>
  <w:style w:type="paragraph" w:customStyle="1" w:styleId="365">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6">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7">
    <w:name w:val="样式 标题 4 + 黑色"/>
    <w:basedOn w:val="7"/>
    <w:qFormat/>
    <w:uiPriority w:val="0"/>
    <w:pPr>
      <w:tabs>
        <w:tab w:val="clear" w:pos="851"/>
      </w:tabs>
      <w:ind w:left="0" w:firstLine="0"/>
      <w:jc w:val="center"/>
      <w:outlineLvl w:val="9"/>
    </w:pPr>
    <w:rPr>
      <w:rFonts w:eastAsia="仿宋_GB2312"/>
      <w:b/>
      <w:bCs/>
      <w:kern w:val="2"/>
      <w:sz w:val="30"/>
      <w:szCs w:val="28"/>
    </w:rPr>
  </w:style>
  <w:style w:type="paragraph" w:customStyle="1" w:styleId="368">
    <w:name w:val="样式 标题 1（章） + 行距: 固定值 25 磅"/>
    <w:basedOn w:val="4"/>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69">
    <w:name w:val="样式 标题 3"/>
    <w:basedOn w:val="6"/>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0">
    <w:name w:val="标标题 2"/>
    <w:basedOn w:val="5"/>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2">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3">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6">
    <w:name w:val="题目"/>
    <w:basedOn w:val="1"/>
    <w:qFormat/>
    <w:uiPriority w:val="0"/>
    <w:pPr>
      <w:spacing w:line="600" w:lineRule="atLeast"/>
      <w:jc w:val="center"/>
    </w:pPr>
    <w:rPr>
      <w:rFonts w:eastAsia="华文行楷"/>
      <w:color w:val="auto"/>
      <w:kern w:val="2"/>
      <w:sz w:val="36"/>
      <w:szCs w:val="20"/>
    </w:rPr>
  </w:style>
  <w:style w:type="paragraph" w:customStyle="1" w:styleId="377">
    <w:name w:val="图注"/>
    <w:basedOn w:val="1"/>
    <w:next w:val="1"/>
    <w:qFormat/>
    <w:uiPriority w:val="0"/>
    <w:pPr>
      <w:spacing w:line="500" w:lineRule="exact"/>
      <w:jc w:val="center"/>
    </w:pPr>
    <w:rPr>
      <w:rFonts w:cs="宋体"/>
      <w:color w:val="auto"/>
      <w:kern w:val="2"/>
      <w:sz w:val="18"/>
      <w:szCs w:val="18"/>
    </w:rPr>
  </w:style>
  <w:style w:type="paragraph" w:customStyle="1" w:styleId="378">
    <w:name w:val="列表内容"/>
    <w:basedOn w:val="1"/>
    <w:qFormat/>
    <w:uiPriority w:val="0"/>
    <w:pPr>
      <w:spacing w:line="240" w:lineRule="exact"/>
      <w:jc w:val="center"/>
    </w:pPr>
    <w:rPr>
      <w:rFonts w:eastAsia="仿宋_GB2312"/>
      <w:color w:val="auto"/>
      <w:kern w:val="2"/>
      <w:sz w:val="18"/>
      <w:szCs w:val="18"/>
    </w:rPr>
  </w:style>
  <w:style w:type="paragraph" w:customStyle="1" w:styleId="379">
    <w:name w:val="注释"/>
    <w:basedOn w:val="1"/>
    <w:qFormat/>
    <w:uiPriority w:val="0"/>
    <w:pPr>
      <w:spacing w:line="500" w:lineRule="exact"/>
    </w:pPr>
    <w:rPr>
      <w:bCs/>
      <w:color w:val="auto"/>
      <w:kern w:val="2"/>
      <w:szCs w:val="36"/>
    </w:rPr>
  </w:style>
  <w:style w:type="paragraph" w:customStyle="1" w:styleId="380">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2">
    <w:name w:val="第一层样式"/>
    <w:basedOn w:val="5"/>
    <w:qFormat/>
    <w:uiPriority w:val="0"/>
    <w:pPr>
      <w:spacing w:before="0" w:after="0" w:line="360" w:lineRule="auto"/>
    </w:pPr>
    <w:rPr>
      <w:rFonts w:ascii="黑体" w:cs="Times New Roman"/>
      <w:b w:val="0"/>
      <w:color w:val="auto"/>
      <w:sz w:val="28"/>
      <w:szCs w:val="28"/>
    </w:rPr>
  </w:style>
  <w:style w:type="paragraph" w:customStyle="1" w:styleId="383">
    <w:name w:val="图片"/>
    <w:basedOn w:val="1"/>
    <w:qFormat/>
    <w:uiPriority w:val="0"/>
    <w:pPr>
      <w:ind w:firstLine="567"/>
      <w:jc w:val="center"/>
    </w:pPr>
    <w:rPr>
      <w:rFonts w:eastAsia="仿宋_GB2312"/>
      <w:color w:val="auto"/>
      <w:kern w:val="2"/>
      <w:sz w:val="28"/>
    </w:rPr>
  </w:style>
  <w:style w:type="paragraph" w:customStyle="1" w:styleId="3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5">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6">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7">
    <w:name w:val="样式 标题 3（项） + 黑体 加粗 黑色"/>
    <w:basedOn w:val="6"/>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8">
    <w:name w:val="样式 正文缩进 + 行距: 固定值 12 磅"/>
    <w:basedOn w:val="8"/>
    <w:qFormat/>
    <w:uiPriority w:val="0"/>
    <w:pPr>
      <w:spacing w:line="500" w:lineRule="exact"/>
      <w:ind w:firstLine="0"/>
    </w:pPr>
    <w:rPr>
      <w:rFonts w:eastAsia="仿宋_GB2312" w:cs="宋体"/>
      <w:color w:val="auto"/>
      <w:kern w:val="2"/>
      <w:sz w:val="28"/>
    </w:rPr>
  </w:style>
  <w:style w:type="paragraph" w:customStyle="1" w:styleId="389">
    <w:name w:val="封面3"/>
    <w:basedOn w:val="2"/>
    <w:qFormat/>
    <w:uiPriority w:val="0"/>
    <w:pPr>
      <w:spacing w:after="0" w:line="240" w:lineRule="atLeast"/>
      <w:jc w:val="center"/>
    </w:pPr>
    <w:rPr>
      <w:rFonts w:eastAsia="华文行楷"/>
      <w:color w:val="auto"/>
      <w:kern w:val="2"/>
      <w:sz w:val="32"/>
    </w:rPr>
  </w:style>
  <w:style w:type="paragraph" w:customStyle="1" w:styleId="390">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1">
    <w:name w:val="封面1"/>
    <w:basedOn w:val="1"/>
    <w:qFormat/>
    <w:uiPriority w:val="0"/>
    <w:pPr>
      <w:widowControl/>
      <w:spacing w:line="800" w:lineRule="exact"/>
      <w:jc w:val="center"/>
    </w:pPr>
    <w:rPr>
      <w:rFonts w:ascii="黑体" w:eastAsia="黑体"/>
      <w:color w:val="auto"/>
      <w:sz w:val="44"/>
      <w:szCs w:val="44"/>
    </w:rPr>
  </w:style>
  <w:style w:type="paragraph" w:customStyle="1" w:styleId="392">
    <w:name w:val="三级条标题"/>
    <w:basedOn w:val="1"/>
    <w:next w:val="393"/>
    <w:qFormat/>
    <w:uiPriority w:val="0"/>
    <w:pPr>
      <w:widowControl/>
      <w:outlineLvl w:val="4"/>
    </w:pPr>
    <w:rPr>
      <w:rFonts w:ascii="黑体" w:eastAsia="黑体"/>
      <w:color w:val="auto"/>
      <w:szCs w:val="20"/>
    </w:rPr>
  </w:style>
  <w:style w:type="paragraph" w:customStyle="1" w:styleId="3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4">
    <w:name w:val="样式 标题 4 + Times New Roman 黑色"/>
    <w:basedOn w:val="7"/>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5">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7">
    <w:name w:val="Char Char Char"/>
    <w:basedOn w:val="17"/>
    <w:qFormat/>
    <w:uiPriority w:val="0"/>
    <w:pPr>
      <w:shd w:val="clear" w:color="auto" w:fill="000080"/>
    </w:pPr>
    <w:rPr>
      <w:rFonts w:ascii="Tahoma" w:hAnsi="Tahoma"/>
      <w:color w:val="auto"/>
      <w:kern w:val="2"/>
      <w:sz w:val="24"/>
      <w:szCs w:val="24"/>
    </w:rPr>
  </w:style>
  <w:style w:type="paragraph" w:customStyle="1" w:styleId="398">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39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0">
    <w:name w:val="样式 目录 2 + 左侧:  2 字符"/>
    <w:basedOn w:val="38"/>
    <w:qFormat/>
    <w:uiPriority w:val="0"/>
  </w:style>
  <w:style w:type="paragraph" w:customStyle="1" w:styleId="401">
    <w:name w:val="样式 地质报告文本 + 四号 首行缩进:  2 字符"/>
    <w:basedOn w:val="398"/>
    <w:qFormat/>
    <w:uiPriority w:val="0"/>
  </w:style>
  <w:style w:type="paragraph" w:customStyle="1" w:styleId="402">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3">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4">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6">
    <w:name w:val="样式 标题 2NS标题 2（节） Char（节） + 黑色"/>
    <w:basedOn w:val="5"/>
    <w:qFormat/>
    <w:uiPriority w:val="0"/>
    <w:pPr>
      <w:spacing w:before="240" w:after="240" w:line="240" w:lineRule="auto"/>
    </w:pPr>
    <w:rPr>
      <w:rFonts w:ascii="Times New Roman" w:hAnsi="Times New Roman" w:cs="Times New Roman"/>
      <w:b w:val="0"/>
      <w:kern w:val="2"/>
    </w:rPr>
  </w:style>
  <w:style w:type="paragraph" w:customStyle="1" w:styleId="407">
    <w:name w:val="样式 目录 2 + 左侧:  2 字符2"/>
    <w:basedOn w:val="38"/>
    <w:qFormat/>
    <w:uiPriority w:val="0"/>
  </w:style>
  <w:style w:type="paragraph" w:customStyle="1" w:styleId="408">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0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0">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3">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4">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6">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7">
    <w:name w:val="目录标题"/>
    <w:basedOn w:val="2"/>
    <w:next w:val="32"/>
    <w:qFormat/>
    <w:uiPriority w:val="0"/>
    <w:pPr>
      <w:spacing w:after="0"/>
      <w:jc w:val="center"/>
    </w:pPr>
    <w:rPr>
      <w:rFonts w:eastAsia="黑体"/>
      <w:b/>
      <w:color w:val="auto"/>
      <w:kern w:val="2"/>
      <w:sz w:val="32"/>
      <w:szCs w:val="32"/>
    </w:rPr>
  </w:style>
  <w:style w:type="paragraph" w:customStyle="1" w:styleId="418">
    <w:name w:val="样式 目录 2 + 左侧:  2 字符1"/>
    <w:basedOn w:val="38"/>
    <w:qFormat/>
    <w:uiPriority w:val="0"/>
  </w:style>
  <w:style w:type="paragraph" w:customStyle="1" w:styleId="419">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0">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1">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3">
    <w:name w:val="2"/>
    <w:basedOn w:val="1"/>
    <w:next w:val="25"/>
    <w:qFormat/>
    <w:uiPriority w:val="0"/>
    <w:rPr>
      <w:rFonts w:ascii="宋体" w:hAnsi="Courier New" w:cs="Courier New"/>
      <w:color w:val="auto"/>
      <w:kern w:val="2"/>
      <w:szCs w:val="21"/>
    </w:rPr>
  </w:style>
  <w:style w:type="paragraph" w:customStyle="1" w:styleId="424">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5">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目录式"/>
    <w:basedOn w:val="142"/>
    <w:qFormat/>
    <w:uiPriority w:val="0"/>
    <w:pPr>
      <w:autoSpaceDE/>
      <w:autoSpaceDN/>
      <w:adjustRightInd/>
      <w:jc w:val="center"/>
      <w:textAlignment w:val="auto"/>
      <w:outlineLvl w:val="9"/>
    </w:pPr>
    <w:rPr>
      <w:color w:val="000000"/>
      <w:kern w:val="2"/>
    </w:rPr>
  </w:style>
  <w:style w:type="paragraph" w:customStyle="1" w:styleId="428">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2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0">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1">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3">
    <w:name w:val="p正文首行缩进 + 首行缩进:  2 字符"/>
    <w:basedOn w:val="45"/>
    <w:qFormat/>
    <w:uiPriority w:val="0"/>
  </w:style>
  <w:style w:type="paragraph" w:customStyle="1" w:styleId="434">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6">
    <w:name w:val="样式4"/>
    <w:basedOn w:val="1"/>
    <w:qFormat/>
    <w:uiPriority w:val="0"/>
    <w:pPr>
      <w:spacing w:line="360" w:lineRule="auto"/>
      <w:outlineLvl w:val="0"/>
    </w:pPr>
    <w:rPr>
      <w:b/>
      <w:color w:val="auto"/>
      <w:kern w:val="2"/>
      <w:sz w:val="24"/>
      <w:szCs w:val="21"/>
    </w:rPr>
  </w:style>
  <w:style w:type="paragraph" w:customStyle="1" w:styleId="437">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0">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3">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4">
    <w:name w:val="样式 样式 表名"/>
    <w:basedOn w:val="1"/>
    <w:qFormat/>
    <w:uiPriority w:val="0"/>
    <w:pPr>
      <w:spacing w:line="460" w:lineRule="exact"/>
      <w:jc w:val="center"/>
    </w:pPr>
    <w:rPr>
      <w:rFonts w:eastAsia="黑体" w:cs="宋体"/>
      <w:color w:val="auto"/>
      <w:kern w:val="2"/>
      <w:szCs w:val="20"/>
    </w:rPr>
  </w:style>
  <w:style w:type="paragraph" w:customStyle="1" w:styleId="445">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6">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7">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0">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1">
    <w:name w:val="CM7"/>
    <w:basedOn w:val="157"/>
    <w:next w:val="157"/>
    <w:qFormat/>
    <w:uiPriority w:val="0"/>
    <w:pPr>
      <w:spacing w:line="468" w:lineRule="atLeast"/>
    </w:pPr>
    <w:rPr>
      <w:rFonts w:ascii="Sim Hei" w:hAnsi="Times New Roman" w:eastAsia="Sim Hei" w:cs="Times New Roman"/>
      <w:color w:val="auto"/>
    </w:rPr>
  </w:style>
  <w:style w:type="paragraph" w:customStyle="1" w:styleId="45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4">
    <w:name w:val="Char1 Char Char Char Char Char Char"/>
    <w:basedOn w:val="17"/>
    <w:qFormat/>
    <w:uiPriority w:val="0"/>
    <w:pPr>
      <w:shd w:val="clear" w:color="auto" w:fill="000080"/>
    </w:pPr>
    <w:rPr>
      <w:rFonts w:ascii="仿宋_GB2312" w:eastAsia="仿宋_GB2312"/>
      <w:color w:val="auto"/>
      <w:kern w:val="2"/>
      <w:sz w:val="21"/>
      <w:szCs w:val="24"/>
    </w:rPr>
  </w:style>
  <w:style w:type="paragraph" w:customStyle="1" w:styleId="455">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7">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59">
    <w:name w:val="Char Char Char Char Char Char"/>
    <w:basedOn w:val="17"/>
    <w:qFormat/>
    <w:uiPriority w:val="0"/>
    <w:pPr>
      <w:shd w:val="clear" w:color="auto" w:fill="000080"/>
    </w:pPr>
    <w:rPr>
      <w:rFonts w:ascii="仿宋_GB2312" w:eastAsia="仿宋_GB2312"/>
      <w:color w:val="auto"/>
      <w:kern w:val="2"/>
      <w:sz w:val="21"/>
      <w:szCs w:val="24"/>
    </w:rPr>
  </w:style>
  <w:style w:type="paragraph" w:customStyle="1" w:styleId="4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1">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2">
    <w:name w:val="样式2"/>
    <w:basedOn w:val="5"/>
    <w:qFormat/>
    <w:uiPriority w:val="0"/>
    <w:pPr>
      <w:spacing w:before="0" w:after="0" w:line="360" w:lineRule="auto"/>
    </w:pPr>
    <w:rPr>
      <w:rFonts w:ascii="黑体" w:cs="Times New Roman"/>
      <w:b w:val="0"/>
      <w:color w:val="auto"/>
      <w:sz w:val="28"/>
      <w:szCs w:val="28"/>
    </w:rPr>
  </w:style>
  <w:style w:type="paragraph" w:customStyle="1" w:styleId="463">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6">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7">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8">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6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0">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2">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5">
    <w:name w:val="样式 标题 2 + Times New Roman 四号 非加粗 段前: 5 磅 段后: 0 磅 行距: 固定值 20..."/>
    <w:basedOn w:val="5"/>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2">
    <w:name w:val="样式13"/>
    <w:basedOn w:val="7"/>
    <w:next w:val="7"/>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3">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4">
    <w:name w:val="样式 标题 6 + Times New Roman 黑色"/>
    <w:basedOn w:val="10"/>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7">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8">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9">
    <w:name w:val="1  一二"/>
    <w:basedOn w:val="1"/>
    <w:qFormat/>
    <w:uiPriority w:val="0"/>
    <w:rPr>
      <w:color w:val="auto"/>
      <w:kern w:val="2"/>
      <w:sz w:val="28"/>
      <w:szCs w:val="20"/>
    </w:rPr>
  </w:style>
  <w:style w:type="paragraph" w:customStyle="1" w:styleId="490">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2">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4">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5">
    <w:name w:val="正文表标题"/>
    <w:next w:val="393"/>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6">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7">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8">
    <w:name w:val="标题 1 Char"/>
    <w:link w:val="4"/>
    <w:qFormat/>
    <w:uiPriority w:val="0"/>
    <w:rPr>
      <w:rFonts w:ascii="Times New Roman" w:hAnsi="Times New Roman" w:eastAsia="宋体"/>
      <w:b/>
      <w:color w:val="000000"/>
      <w:sz w:val="32"/>
      <w:szCs w:val="44"/>
    </w:rPr>
  </w:style>
  <w:style w:type="character" w:customStyle="1" w:styleId="499">
    <w:name w:val="正文文本缩进 2 Char"/>
    <w:link w:val="28"/>
    <w:qFormat/>
    <w:uiPriority w:val="0"/>
    <w:rPr>
      <w:rFonts w:ascii="华文中宋" w:hAnsi="华文中宋" w:cs="宋体"/>
      <w:color w:val="000000"/>
      <w:kern w:val="1"/>
      <w:sz w:val="30"/>
      <w:szCs w:val="24"/>
    </w:rPr>
  </w:style>
  <w:style w:type="paragraph" w:customStyle="1" w:styleId="500">
    <w:name w:val="Table Paragraph"/>
    <w:basedOn w:val="1"/>
    <w:qFormat/>
    <w:uiPriority w:val="1"/>
    <w:pPr>
      <w:jc w:val="left"/>
    </w:pPr>
    <w:rPr>
      <w:rFonts w:ascii="宋体" w:hAnsi="宋体" w:cs="宋体"/>
      <w:color w:val="auto"/>
      <w:sz w:val="22"/>
      <w:szCs w:val="22"/>
      <w:lang w:eastAsia="en-US"/>
    </w:rPr>
  </w:style>
  <w:style w:type="table" w:customStyle="1" w:styleId="50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2">
    <w:name w:val="MSG_EN_FONT_STYLE_NAME_TEMPLATE_ROLE_NUMBER MSG_EN_FONT_STYLE_NAME_BY_ROLE_TEXT 2_"/>
    <w:link w:val="503"/>
    <w:qFormat/>
    <w:locked/>
    <w:uiPriority w:val="0"/>
    <w:rPr>
      <w:rFonts w:ascii="PMingLiU" w:eastAsia="PMingLiU"/>
      <w:sz w:val="18"/>
      <w:szCs w:val="18"/>
      <w:shd w:val="clear" w:color="auto" w:fill="FFFFFF"/>
    </w:rPr>
  </w:style>
  <w:style w:type="paragraph" w:customStyle="1" w:styleId="503">
    <w:name w:val="MSG_EN_FONT_STYLE_NAME_TEMPLATE_ROLE_NUMBER MSG_EN_FONT_STYLE_NAME_BY_ROLE_TEXT 21"/>
    <w:basedOn w:val="1"/>
    <w:link w:val="502"/>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4">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5">
    <w:name w:val="MSG_EN_FONT_STYLE_NAME_TEMPLATE_ROLE_NUMBER MSG_EN_FONT_STYLE_NAME_BY_ROLE_TEXT 2 Exact"/>
    <w:qFormat/>
    <w:uiPriority w:val="0"/>
    <w:rPr>
      <w:rFonts w:ascii="PMingLiU" w:eastAsia="PMingLiU" w:cs="PMingLiU"/>
      <w:sz w:val="18"/>
      <w:szCs w:val="18"/>
      <w:u w:val="none"/>
    </w:rPr>
  </w:style>
  <w:style w:type="character" w:customStyle="1" w:styleId="506">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7">
    <w:name w:val="MSG_EN_FONT_STYLE_NAME_TEMPLATE_ROLE_NUMBER MSG_EN_FONT_STYLE_NAME_BY_ROLE_TEXT 7_"/>
    <w:link w:val="508"/>
    <w:qFormat/>
    <w:locked/>
    <w:uiPriority w:val="0"/>
    <w:rPr>
      <w:rFonts w:ascii="PMingLiU" w:eastAsia="PMingLiU"/>
      <w:b/>
      <w:bCs/>
      <w:spacing w:val="20"/>
      <w:sz w:val="18"/>
      <w:szCs w:val="18"/>
      <w:shd w:val="clear" w:color="auto" w:fill="FFFFFF"/>
    </w:rPr>
  </w:style>
  <w:style w:type="paragraph" w:customStyle="1" w:styleId="508">
    <w:name w:val="MSG_EN_FONT_STYLE_NAME_TEMPLATE_ROLE_NUMBER MSG_EN_FONT_STYLE_NAME_BY_ROLE_TEXT 7"/>
    <w:basedOn w:val="1"/>
    <w:link w:val="507"/>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09">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0">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1">
    <w:name w:val="MSG_EN_FONT_STYLE_NAME_TEMPLATE_ROLE_NUMBER MSG_EN_FONT_STYLE_NAME_BY_ROLE_TEXT 9_"/>
    <w:link w:val="512"/>
    <w:qFormat/>
    <w:locked/>
    <w:uiPriority w:val="0"/>
    <w:rPr>
      <w:rFonts w:ascii="PMingLiU" w:eastAsia="PMingLiU"/>
      <w:sz w:val="19"/>
      <w:szCs w:val="19"/>
      <w:shd w:val="clear" w:color="auto" w:fill="FFFFFF"/>
    </w:rPr>
  </w:style>
  <w:style w:type="paragraph" w:customStyle="1" w:styleId="512">
    <w:name w:val="MSG_EN_FONT_STYLE_NAME_TEMPLATE_ROLE_NUMBER MSG_EN_FONT_STYLE_NAME_BY_ROLE_TEXT 9"/>
    <w:basedOn w:val="1"/>
    <w:link w:val="511"/>
    <w:qFormat/>
    <w:uiPriority w:val="0"/>
    <w:pPr>
      <w:shd w:val="clear" w:color="auto" w:fill="FFFFFF"/>
      <w:spacing w:line="326" w:lineRule="exact"/>
      <w:jc w:val="left"/>
    </w:pPr>
    <w:rPr>
      <w:rFonts w:ascii="PMingLiU" w:eastAsia="PMingLiU"/>
      <w:color w:val="auto"/>
      <w:sz w:val="19"/>
      <w:szCs w:val="19"/>
    </w:rPr>
  </w:style>
  <w:style w:type="character" w:customStyle="1" w:styleId="513">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4">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5">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6">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7">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8">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19">
    <w:name w:val="样式 宋体 五号 加粗"/>
    <w:qFormat/>
    <w:uiPriority w:val="0"/>
    <w:rPr>
      <w:rFonts w:ascii="宋体" w:hAnsi="宋体"/>
      <w:b/>
      <w:bCs/>
      <w:sz w:val="21"/>
    </w:rPr>
  </w:style>
  <w:style w:type="character" w:customStyle="1" w:styleId="520">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1">
    <w:name w:val="txt"/>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522">
    <w:name w:val="WPSOffice手动目录 1"/>
    <w:qFormat/>
    <w:uiPriority w:val="0"/>
    <w:rPr>
      <w:rFonts w:ascii="Times New Roman" w:hAnsi="Times New Roman" w:eastAsia="宋体" w:cs="Times New Roman"/>
      <w:lang w:val="en-US" w:eastAsia="zh-CN" w:bidi="ar-SA"/>
    </w:rPr>
  </w:style>
  <w:style w:type="paragraph" w:customStyle="1" w:styleId="5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24">
    <w:name w:val="font01"/>
    <w:basedOn w:val="49"/>
    <w:qFormat/>
    <w:uiPriority w:val="0"/>
    <w:rPr>
      <w:rFonts w:hint="eastAsia" w:ascii="宋体" w:hAnsi="宋体" w:eastAsia="宋体" w:cs="宋体"/>
      <w:color w:val="000000"/>
      <w:sz w:val="22"/>
      <w:szCs w:val="22"/>
      <w:u w:val="none"/>
    </w:rPr>
  </w:style>
  <w:style w:type="character" w:customStyle="1" w:styleId="525">
    <w:name w:val="标题 3 Char1"/>
    <w:link w:val="6"/>
    <w:qFormat/>
    <w:uiPriority w:val="0"/>
    <w:rPr>
      <w:rFonts w:ascii="宋体" w:hAnsi="宋体" w:eastAsia="宋体" w:cs="宋体"/>
      <w:b/>
      <w:sz w:val="24"/>
      <w:szCs w:val="28"/>
    </w:rPr>
  </w:style>
  <w:style w:type="character" w:customStyle="1" w:styleId="526">
    <w:name w:val="标题 2 Char1"/>
    <w:link w:val="5"/>
    <w:qFormat/>
    <w:uiPriority w:val="9"/>
    <w:rPr>
      <w:rFonts w:ascii="Arial" w:hAnsi="Arial" w:eastAsia="黑体" w:cs="Arial"/>
      <w:b/>
      <w:sz w:val="28"/>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D55E7-7335-4C08-9067-B8A6A6B085CB}">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1910</Words>
  <Characters>10888</Characters>
  <Lines>90</Lines>
  <Paragraphs>25</Paragraphs>
  <TotalTime>32</TotalTime>
  <ScaleCrop>false</ScaleCrop>
  <LinksUpToDate>false</LinksUpToDate>
  <CharactersWithSpaces>12773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2016-08-24T09:36:00Z</dcterms:created>
  <dc:creator>微软用户</dc:creator>
  <cp:lastModifiedBy>user</cp:lastModifiedBy>
  <dcterms:modified xsi:type="dcterms:W3CDTF">2021-09-09T02:30:22Z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1FF66692F9C14CD1918D03B7AFC42573</vt:lpwstr>
  </property>
</Properties>
</file>